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png" ContentType="image/png"/>
  <Override PartName="/word/media/rId15.png" ContentType="image/png"/>
  <Override PartName="/word/media/rId20.png" ContentType="image/png"/>
  <Override PartName="/word/media/rId80.png" ContentType="image/png"/>
  <Override PartName="/word/media/rId69.png" ContentType="image/png"/>
  <Override PartName="/word/media/rId55.png" ContentType="image/png"/>
  <Override PartName="/word/media/rId59.png" ContentType="image/png"/>
  <Override PartName="/word/media/rId63.png" ContentType="image/png"/>
  <Override PartName="/word/media/rId2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Руководство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0" w:name="руководство-пользователя"/>
    <w:p>
      <w:pPr>
        <w:pStyle w:val="Heading1"/>
      </w:pPr>
      <w:r>
        <w:t xml:space="preserve">Руководство пользователя</w:t>
      </w:r>
    </w:p>
    <w:p>
      <w:pPr>
        <w:pStyle w:val="FirstParagraph"/>
      </w:pPr>
      <w:r>
        <w:t xml:space="preserve">Раздел описывает назначение АРМ «Администратор» и основные панели настройки системы.</w:t>
      </w:r>
    </w:p>
    <w:bookmarkStart w:id="10" w:name="назначение-и-основные-характеристики"/>
    <w:p>
      <w:pPr>
        <w:pStyle w:val="Heading2"/>
      </w:pPr>
      <w:r>
        <w:t xml:space="preserve">Назначение и основные характеристики</w:t>
      </w:r>
    </w:p>
    <w:p>
      <w:pPr>
        <w:pStyle w:val="FirstParagraph"/>
      </w:pPr>
      <w:r>
        <w:t xml:space="preserve">АРМ «Администратор» представляет собой автоматизированное рабочее место сотрудника, выполняющего функции по администрированию системы.</w:t>
      </w:r>
    </w:p>
    <w:p>
      <w:pPr>
        <w:pStyle w:val="BodyText"/>
      </w:pPr>
      <w:r>
        <w:t xml:space="preserve">Основные возможности АРМ «Администратор»:</w:t>
      </w:r>
    </w:p>
    <w:p>
      <w:pPr>
        <w:pStyle w:val="Compact"/>
        <w:numPr>
          <w:ilvl w:val="0"/>
          <w:numId w:val="1001"/>
        </w:numPr>
      </w:pPr>
      <w:r>
        <w:t xml:space="preserve">управление основными настройками системы;</w:t>
      </w:r>
    </w:p>
    <w:p>
      <w:pPr>
        <w:pStyle w:val="Compact"/>
        <w:numPr>
          <w:ilvl w:val="0"/>
          <w:numId w:val="1001"/>
        </w:numPr>
      </w:pPr>
      <w:r>
        <w:t xml:space="preserve">управление настройками соединения с основным TCP/IP-сервером ИРБИС 64;</w:t>
      </w:r>
    </w:p>
    <w:p>
      <w:pPr>
        <w:pStyle w:val="Compact"/>
        <w:numPr>
          <w:ilvl w:val="0"/>
          <w:numId w:val="1001"/>
        </w:numPr>
      </w:pPr>
      <w:r>
        <w:t xml:space="preserve">управление настройками модулей системы;</w:t>
      </w:r>
    </w:p>
    <w:p>
      <w:pPr>
        <w:pStyle w:val="Compact"/>
        <w:numPr>
          <w:ilvl w:val="0"/>
          <w:numId w:val="1001"/>
        </w:numPr>
      </w:pPr>
      <w:r>
        <w:t xml:space="preserve">просмотр состояния подсистемы кеширования и очистка кеша;</w:t>
      </w:r>
    </w:p>
    <w:p>
      <w:pPr>
        <w:pStyle w:val="Compact"/>
        <w:numPr>
          <w:ilvl w:val="0"/>
          <w:numId w:val="1001"/>
        </w:numPr>
      </w:pPr>
      <w:r>
        <w:t xml:space="preserve">обслуживание папки</w:t>
      </w:r>
      <w:r>
        <w:t xml:space="preserve"> </w:t>
      </w:r>
      <w:r>
        <w:rPr>
          <w:rStyle w:val="VerbatimChar"/>
        </w:rPr>
        <w:t xml:space="preserve">OBJECTS</w:t>
      </w:r>
      <w:r>
        <w:t xml:space="preserve">: запуск очистки служебных файлов, просмотр отчетов и управление резервными копиями;</w:t>
      </w:r>
    </w:p>
    <w:p>
      <w:pPr>
        <w:pStyle w:val="Compact"/>
        <w:numPr>
          <w:ilvl w:val="0"/>
          <w:numId w:val="1001"/>
        </w:numPr>
      </w:pPr>
      <w:r>
        <w:t xml:space="preserve">настройка прав доступа к модулям и объектам, если соответствующие права поддерживаются модулем.</w:t>
      </w:r>
    </w:p>
    <w:p>
      <w:pPr>
        <w:pStyle w:val="FirstParagraph"/>
      </w:pPr>
      <w:r>
        <w:t xml:space="preserve">Состояние системного кеша, режим APCu или SQLite fallback и элементы очистки кеша описаны в разделе</w:t>
      </w:r>
      <w:r>
        <w:t xml:space="preserve"> </w:t>
      </w:r>
      <w:hyperlink r:id="rId9">
        <w:r>
          <w:rPr>
            <w:rStyle w:val="Hyperlink"/>
          </w:rPr>
          <w:t xml:space="preserve">Состояние кеширования</w:t>
        </w:r>
      </w:hyperlink>
      <w:r>
        <w:t xml:space="preserve">.</w:t>
      </w:r>
    </w:p>
    <w:bookmarkEnd w:id="10"/>
    <w:bookmarkStart w:id="24" w:name="X5cb0cc0b50e8d22160173b70536d60773642f18"/>
    <w:p>
      <w:pPr>
        <w:pStyle w:val="Heading2"/>
      </w:pPr>
      <w:r>
        <w:t xml:space="preserve">Общая характеристика пользовательского интерфейса</w:t>
      </w:r>
    </w:p>
    <w:p>
      <w:pPr>
        <w:pStyle w:val="FirstParagraph"/>
      </w:pPr>
      <w:r>
        <w:t xml:space="preserve">Интерфейс АРМ «Администратор» состоит из трех основных панелей:</w:t>
      </w:r>
    </w:p>
    <w:p>
      <w:pPr>
        <w:pStyle w:val="Compact"/>
        <w:numPr>
          <w:ilvl w:val="0"/>
          <w:numId w:val="1002"/>
        </w:numPr>
      </w:pPr>
      <w:r>
        <w:t xml:space="preserve">«Настройки основного TCP/IP сервера ИРБИС 64»;</w:t>
      </w:r>
    </w:p>
    <w:p>
      <w:pPr>
        <w:pStyle w:val="Compact"/>
        <w:numPr>
          <w:ilvl w:val="0"/>
          <w:numId w:val="1002"/>
        </w:numPr>
      </w:pPr>
      <w:r>
        <w:t xml:space="preserve">«Основные настройки системы»;</w:t>
      </w:r>
    </w:p>
    <w:p>
      <w:pPr>
        <w:pStyle w:val="Compact"/>
        <w:numPr>
          <w:ilvl w:val="0"/>
          <w:numId w:val="1002"/>
        </w:numPr>
      </w:pPr>
      <w:r>
        <w:t xml:space="preserve">«Настройки модулей системы».</w:t>
      </w:r>
    </w:p>
    <w:p>
      <w:pPr>
        <w:pStyle w:val="FirstParagraph"/>
      </w:pPr>
      <w:r>
        <w:t xml:space="preserve">Переход между панелями выполняется нажатием на заголовок соответствующей панели.</w:t>
      </w:r>
    </w:p>
    <w:bookmarkStart w:id="14" w:name="Xe4618f9cc5e512531cca2ae98ad15ae8336e4fd"/>
    <w:p>
      <w:pPr>
        <w:pStyle w:val="Heading3"/>
      </w:pPr>
      <w:r>
        <w:t xml:space="preserve">Панель «Настройки основного TCP/IP сервера ИРБИС 64»</w:t>
      </w:r>
    </w:p>
    <w:p>
      <w:pPr>
        <w:pStyle w:val="FirstParagraph"/>
      </w:pPr>
      <w:r>
        <w:t xml:space="preserve">Панель используется для настройки подключения к основному TCP/IP-серверу ИРБИС 64.</w:t>
      </w:r>
    </w:p>
    <w:p>
      <w:pPr>
        <w:pStyle w:val="CaptionedFigure"/>
      </w:pPr>
      <w:r>
        <w:drawing>
          <wp:inline>
            <wp:extent cx="5334000" cy="3168124"/>
            <wp:effectExtent b="0" l="0" r="0" t="0"/>
            <wp:docPr descr="Внешний вид панели «Настройки основного TCP/IP сервера ИРБИС 64»" title="" id="12" name="Picture"/>
            <a:graphic>
              <a:graphicData uri="http://schemas.openxmlformats.org/drawingml/2006/picture">
                <pic:pic>
                  <pic:nvPicPr>
                    <pic:cNvPr descr="modules/Admin/Help/Interface/Pic1.png" id="13" name="Picture"/>
                    <pic:cNvPicPr>
                      <a:picLocks noChangeArrowheads="1" noChangeAspect="1"/>
                    </pic:cNvPicPr>
                  </pic:nvPicPr>
                  <pic:blipFill>
                    <a:blip r:embed="rId11"/>
                    <a:stretch>
                      <a:fillRect/>
                    </a:stretch>
                  </pic:blipFill>
                  <pic:spPr bwMode="auto">
                    <a:xfrm>
                      <a:off x="0" y="0"/>
                      <a:ext cx="5334000" cy="3168124"/>
                    </a:xfrm>
                    <a:prstGeom prst="rect">
                      <a:avLst/>
                    </a:prstGeom>
                    <a:noFill/>
                    <a:ln w="9525">
                      <a:noFill/>
                      <a:headEnd/>
                      <a:tailEnd/>
                    </a:ln>
                  </pic:spPr>
                </pic:pic>
              </a:graphicData>
            </a:graphic>
          </wp:inline>
        </w:drawing>
      </w:r>
    </w:p>
    <w:p>
      <w:pPr>
        <w:pStyle w:val="ImageCaption"/>
      </w:pPr>
      <w:r>
        <w:t xml:space="preserve">Внешний вид панели «Настройки основного TCP/IP сервера ИРБИС 64»</w:t>
      </w:r>
    </w:p>
    <w:p>
      <w:pPr>
        <w:pStyle w:val="BodyText"/>
      </w:pPr>
      <w:r>
        <w:t xml:space="preserve">Основные параметры подключения:</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Назначение</w:t>
            </w:r>
          </w:p>
        </w:tc>
      </w:tr>
      <w:tr>
        <w:tc>
          <w:tcPr/>
          <w:p>
            <w:pPr>
              <w:pStyle w:val="Compact"/>
            </w:pPr>
            <w:r>
              <w:t xml:space="preserve">Адрес сервера</w:t>
            </w:r>
          </w:p>
        </w:tc>
        <w:tc>
          <w:tcPr/>
          <w:p>
            <w:pPr>
              <w:pStyle w:val="Compact"/>
            </w:pPr>
            <w:r>
              <w:t xml:space="preserve">IP-адрес или имя хоста основного TCP/IP-сервера ИРБИС 64.</w:t>
            </w:r>
          </w:p>
        </w:tc>
      </w:tr>
      <w:tr>
        <w:tc>
          <w:tcPr/>
          <w:p>
            <w:pPr>
              <w:pStyle w:val="Compact"/>
            </w:pPr>
            <w:r>
              <w:t xml:space="preserve">Порт</w:t>
            </w:r>
          </w:p>
        </w:tc>
        <w:tc>
          <w:tcPr/>
          <w:p>
            <w:pPr>
              <w:pStyle w:val="Compact"/>
            </w:pPr>
            <w:r>
              <w:t xml:space="preserve">TCP-порт основного сервера.</w:t>
            </w:r>
          </w:p>
        </w:tc>
      </w:tr>
      <w:tr>
        <w:tc>
          <w:tcPr/>
          <w:p>
            <w:pPr>
              <w:pStyle w:val="Compact"/>
            </w:pPr>
            <w:r>
              <w:t xml:space="preserve">Логин администратора</w:t>
            </w:r>
          </w:p>
        </w:tc>
        <w:tc>
          <w:tcPr/>
          <w:p>
            <w:pPr>
              <w:pStyle w:val="Compact"/>
            </w:pPr>
            <w:r>
              <w:t xml:space="preserve">Логин для входа на сервер ИРБИС 64 с правами администратора.</w:t>
            </w:r>
          </w:p>
        </w:tc>
      </w:tr>
      <w:tr>
        <w:tc>
          <w:tcPr/>
          <w:p>
            <w:pPr>
              <w:pStyle w:val="Compact"/>
            </w:pPr>
            <w:r>
              <w:t xml:space="preserve">Пароль администратора</w:t>
            </w:r>
          </w:p>
        </w:tc>
        <w:tc>
          <w:tcPr/>
          <w:p>
            <w:pPr>
              <w:pStyle w:val="Compact"/>
            </w:pPr>
            <w:r>
              <w:t xml:space="preserve">Пароль администратора основного сервера.</w:t>
            </w:r>
          </w:p>
        </w:tc>
      </w:tr>
      <w:tr>
        <w:tc>
          <w:tcPr/>
          <w:p>
            <w:pPr>
              <w:pStyle w:val="Compact"/>
            </w:pPr>
            <w:r>
              <w:t xml:space="preserve">Таймаут</w:t>
            </w:r>
          </w:p>
        </w:tc>
        <w:tc>
          <w:tcPr/>
          <w:p>
            <w:pPr>
              <w:pStyle w:val="Compact"/>
            </w:pPr>
            <w:r>
              <w:t xml:space="preserve">Максимальное время ожидания ответа от сервера в секундах.</w:t>
            </w:r>
          </w:p>
        </w:tc>
      </w:tr>
      <w:tr>
        <w:tc>
          <w:tcPr/>
          <w:p>
            <w:pPr>
              <w:pStyle w:val="Compact"/>
            </w:pPr>
            <w:r>
              <w:t xml:space="preserve">Максимальное количество сессий</w:t>
            </w:r>
          </w:p>
        </w:tc>
        <w:tc>
          <w:tcPr/>
          <w:p>
            <w:pPr>
              <w:pStyle w:val="Compact"/>
            </w:pPr>
            <w:r>
              <w:t xml:space="preserve">Ограничение числа одновременных подключений к серверу.</w:t>
            </w:r>
          </w:p>
        </w:tc>
      </w:tr>
    </w:tbl>
    <w:p>
      <w:pPr>
        <w:pStyle w:val="BodyText"/>
      </w:pPr>
      <w:r>
        <w:t xml:space="preserve">Для сохранения данных используется кнопка «Сохранить».</w:t>
      </w:r>
    </w:p>
    <w:bookmarkEnd w:id="14"/>
    <w:bookmarkStart w:id="19" w:name="панель-основные-настройки-системы"/>
    <w:p>
      <w:pPr>
        <w:pStyle w:val="Heading3"/>
      </w:pPr>
      <w:r>
        <w:t xml:space="preserve">Панель «Основные настройки системы»</w:t>
      </w:r>
    </w:p>
    <w:p>
      <w:pPr>
        <w:pStyle w:val="FirstParagraph"/>
      </w:pPr>
      <w:r>
        <w:t xml:space="preserve">Панель используется для настройки основных параметров системы ИРБИС 64/128.</w:t>
      </w:r>
    </w:p>
    <w:p>
      <w:pPr>
        <w:pStyle w:val="CaptionedFigure"/>
      </w:pPr>
      <w:r>
        <w:drawing>
          <wp:inline>
            <wp:extent cx="5334000" cy="3018692"/>
            <wp:effectExtent b="0" l="0" r="0" t="0"/>
            <wp:docPr descr="Внешний вид панели «Основные настройки системы»" title="" id="16" name="Picture"/>
            <a:graphic>
              <a:graphicData uri="http://schemas.openxmlformats.org/drawingml/2006/picture">
                <pic:pic>
                  <pic:nvPicPr>
                    <pic:cNvPr descr="modules/Admin/Help/Interface/Pic2.png" id="17" name="Picture"/>
                    <pic:cNvPicPr>
                      <a:picLocks noChangeArrowheads="1" noChangeAspect="1"/>
                    </pic:cNvPicPr>
                  </pic:nvPicPr>
                  <pic:blipFill>
                    <a:blip r:embed="rId15"/>
                    <a:stretch>
                      <a:fillRect/>
                    </a:stretch>
                  </pic:blipFill>
                  <pic:spPr bwMode="auto">
                    <a:xfrm>
                      <a:off x="0" y="0"/>
                      <a:ext cx="5334000" cy="3018692"/>
                    </a:xfrm>
                    <a:prstGeom prst="rect">
                      <a:avLst/>
                    </a:prstGeom>
                    <a:noFill/>
                    <a:ln w="9525">
                      <a:noFill/>
                      <a:headEnd/>
                      <a:tailEnd/>
                    </a:ln>
                  </pic:spPr>
                </pic:pic>
              </a:graphicData>
            </a:graphic>
          </wp:inline>
        </w:drawing>
      </w:r>
    </w:p>
    <w:p>
      <w:pPr>
        <w:pStyle w:val="ImageCaption"/>
      </w:pPr>
      <w:r>
        <w:t xml:space="preserve">Внешний вид панели «Основные настройки системы»</w:t>
      </w:r>
    </w:p>
    <w:p>
      <w:pPr>
        <w:pStyle w:val="BodyText"/>
      </w:pPr>
      <w:r>
        <w:t xml:space="preserve">Первые информационные поля панели не предназначены для редактирования: наименование организации, ключ дистрибутива и версия системы.</w:t>
      </w:r>
    </w:p>
    <w:p>
      <w:pPr>
        <w:pStyle w:val="BodyText"/>
      </w:pPr>
      <w:r>
        <w:t xml:space="preserve">На панели настраиваются:</w:t>
      </w:r>
    </w:p>
    <w:p>
      <w:pPr>
        <w:pStyle w:val="Compact"/>
        <w:numPr>
          <w:ilvl w:val="0"/>
          <w:numId w:val="1003"/>
        </w:numPr>
      </w:pPr>
      <w:r>
        <w:t xml:space="preserve">IP-адрес администратора системы;</w:t>
      </w:r>
    </w:p>
    <w:p>
      <w:pPr>
        <w:pStyle w:val="Compact"/>
        <w:numPr>
          <w:ilvl w:val="0"/>
          <w:numId w:val="1003"/>
        </w:numPr>
      </w:pPr>
      <w:r>
        <w:t xml:space="preserve">каталог хранения рабочих данных;</w:t>
      </w:r>
    </w:p>
    <w:p>
      <w:pPr>
        <w:pStyle w:val="Compact"/>
        <w:numPr>
          <w:ilvl w:val="0"/>
          <w:numId w:val="1003"/>
        </w:numPr>
      </w:pPr>
      <w:r>
        <w:t xml:space="preserve">параметры прокси-сервера;</w:t>
      </w:r>
    </w:p>
    <w:p>
      <w:pPr>
        <w:pStyle w:val="Compact"/>
        <w:numPr>
          <w:ilvl w:val="0"/>
          <w:numId w:val="1003"/>
        </w:numPr>
      </w:pPr>
      <w:r>
        <w:t xml:space="preserve">имена баз данных, используемых системой по умолчанию;</w:t>
      </w:r>
    </w:p>
    <w:p>
      <w:pPr>
        <w:pStyle w:val="Compact"/>
        <w:numPr>
          <w:ilvl w:val="0"/>
          <w:numId w:val="1003"/>
        </w:numPr>
      </w:pPr>
      <w:r>
        <w:t xml:space="preserve">служебные параметры, которые должны совпадать с текущей конфигурацией сервера приложений.</w:t>
      </w:r>
    </w:p>
    <w:p>
      <w:pPr>
        <w:pStyle w:val="FirstParagraph"/>
      </w:pPr>
      <w:r>
        <w:t xml:space="preserve">Актуальный состав системных параметров описан в разделе</w:t>
      </w:r>
      <w:r>
        <w:t xml:space="preserve"> </w:t>
      </w:r>
      <w:hyperlink r:id="rId18">
        <w:r>
          <w:rPr>
            <w:rStyle w:val="Hyperlink"/>
          </w:rPr>
          <w:t xml:space="preserve">системных констант и параметров</w:t>
        </w:r>
      </w:hyperlink>
      <w:r>
        <w:t xml:space="preserve">. При расхождении старых печатных руководств с текущей системой приоритет имеет текущая конфигурация</w:t>
      </w:r>
      <w:r>
        <w:t xml:space="preserve"> </w:t>
      </w:r>
      <w:r>
        <w:rPr>
          <w:rStyle w:val="VerbatimChar"/>
        </w:rPr>
        <w:t xml:space="preserve">config.php</w:t>
      </w:r>
      <w:r>
        <w:t xml:space="preserve"> </w:t>
      </w:r>
      <w:r>
        <w:t xml:space="preserve">и значения</w:t>
      </w:r>
      <w:r>
        <w:t xml:space="preserve"> </w:t>
      </w:r>
      <w:r>
        <w:rPr>
          <w:rStyle w:val="VerbatimChar"/>
        </w:rPr>
        <w:t xml:space="preserve">$OPTIONS</w:t>
      </w:r>
      <w:r>
        <w:t xml:space="preserve">, используемые кодом.</w:t>
      </w:r>
    </w:p>
    <w:p>
      <w:pPr>
        <w:pStyle w:val="BodyText"/>
      </w:pPr>
      <w:r>
        <w:t xml:space="preserve">Для сохранения данных используется кнопка «Сохранить».</w:t>
      </w:r>
    </w:p>
    <w:bookmarkEnd w:id="19"/>
    <w:bookmarkStart w:id="23" w:name="Xf329628d47983a3f7f785b522893a4b56fb407b"/>
    <w:p>
      <w:pPr>
        <w:pStyle w:val="Heading3"/>
      </w:pPr>
      <w:r>
        <w:t xml:space="preserve">Панель «Управление настройками модулей системы»</w:t>
      </w:r>
    </w:p>
    <w:p>
      <w:pPr>
        <w:pStyle w:val="FirstParagraph"/>
      </w:pPr>
      <w:r>
        <w:t xml:space="preserve">Панель показывает список установленных модулей системы.</w:t>
      </w:r>
    </w:p>
    <w:p>
      <w:pPr>
        <w:pStyle w:val="CaptionedFigure"/>
      </w:pPr>
      <w:r>
        <w:drawing>
          <wp:inline>
            <wp:extent cx="5334000" cy="3018692"/>
            <wp:effectExtent b="0" l="0" r="0" t="0"/>
            <wp:docPr descr="Внешний вид панели «Управление настройками модулей системы»" title="" id="21" name="Picture"/>
            <a:graphic>
              <a:graphicData uri="http://schemas.openxmlformats.org/drawingml/2006/picture">
                <pic:pic>
                  <pic:nvPicPr>
                    <pic:cNvPr descr="modules/Admin/Help/Interface/Pic3.png" id="22" name="Picture"/>
                    <pic:cNvPicPr>
                      <a:picLocks noChangeArrowheads="1" noChangeAspect="1"/>
                    </pic:cNvPicPr>
                  </pic:nvPicPr>
                  <pic:blipFill>
                    <a:blip r:embed="rId20"/>
                    <a:stretch>
                      <a:fillRect/>
                    </a:stretch>
                  </pic:blipFill>
                  <pic:spPr bwMode="auto">
                    <a:xfrm>
                      <a:off x="0" y="0"/>
                      <a:ext cx="5334000" cy="3018692"/>
                    </a:xfrm>
                    <a:prstGeom prst="rect">
                      <a:avLst/>
                    </a:prstGeom>
                    <a:noFill/>
                    <a:ln w="9525">
                      <a:noFill/>
                      <a:headEnd/>
                      <a:tailEnd/>
                    </a:ln>
                  </pic:spPr>
                </pic:pic>
              </a:graphicData>
            </a:graphic>
          </wp:inline>
        </w:drawing>
      </w:r>
    </w:p>
    <w:p>
      <w:pPr>
        <w:pStyle w:val="ImageCaption"/>
      </w:pPr>
      <w:r>
        <w:t xml:space="preserve">Внешний вид панели «Управление настройками модулей системы»</w:t>
      </w:r>
    </w:p>
    <w:p>
      <w:pPr>
        <w:pStyle w:val="BodyText"/>
      </w:pPr>
      <w:r>
        <w:t xml:space="preserve">Список модулей можно отсортировать по названию, нажав на заголовок столбца «Описание».</w:t>
      </w:r>
    </w:p>
    <w:p>
      <w:pPr>
        <w:pStyle w:val="BodyText"/>
      </w:pPr>
      <w:r>
        <w:t xml:space="preserve">Основные действия с выбранным модулем:</w:t>
      </w:r>
    </w:p>
    <w:p>
      <w:pPr>
        <w:pStyle w:val="Compact"/>
        <w:numPr>
          <w:ilvl w:val="0"/>
          <w:numId w:val="1004"/>
        </w:numPr>
      </w:pPr>
      <w:r>
        <w:t xml:space="preserve">«Параметры модуля» открывает окно с параметрами соответствующего модуля;</w:t>
      </w:r>
    </w:p>
    <w:p>
      <w:pPr>
        <w:pStyle w:val="Compact"/>
        <w:numPr>
          <w:ilvl w:val="0"/>
          <w:numId w:val="1004"/>
        </w:numPr>
      </w:pPr>
      <w:r>
        <w:t xml:space="preserve">«Права доступа к модулю» открывает окно установки прав на объект-запись модуля.</w:t>
      </w:r>
    </w:p>
    <w:p>
      <w:pPr>
        <w:pStyle w:val="FirstParagraph"/>
      </w:pPr>
      <w:r>
        <w:t xml:space="preserve">Параметры конкретного модуля описываются в документации этого модуля, обычно в разделе «Параметры (переменные) модуля».</w:t>
      </w:r>
    </w:p>
    <w:bookmarkEnd w:id="23"/>
    <w:bookmarkEnd w:id="24"/>
    <w:bookmarkStart w:id="34" w:name="состояние-кеширования"/>
    <w:p>
      <w:pPr>
        <w:pStyle w:val="Heading2"/>
      </w:pPr>
      <w:r>
        <w:t xml:space="preserve">Состояние кеширования</w:t>
      </w:r>
    </w:p>
    <w:p>
      <w:pPr>
        <w:pStyle w:val="FirstParagraph"/>
      </w:pPr>
      <w:r>
        <w:t xml:space="preserve">Страница</w:t>
      </w:r>
      <w:r>
        <w:t xml:space="preserve"> </w:t>
      </w:r>
      <w:r>
        <w:rPr>
          <w:rStyle w:val="VerbatimChar"/>
        </w:rPr>
        <w:t xml:space="preserve">Admin/ShowCacheState</w:t>
      </w:r>
      <w:r>
        <w:t xml:space="preserve"> </w:t>
      </w:r>
      <w:r>
        <w:t xml:space="preserve">показывает текущее состояние системного кеша сервера приложений. Ее используют для быстрой диагностики, когда нужно понять, работает ли персистентный кеш, сколько объектов находится в локальном уровне и сколько памяти занимает APCu.</w:t>
      </w:r>
    </w:p>
    <w:p>
      <w:pPr>
        <w:pStyle w:val="CaptionedFigure"/>
      </w:pPr>
      <w:r>
        <w:drawing>
          <wp:inline>
            <wp:extent cx="5334000" cy="4090562"/>
            <wp:effectExtent b="0" l="0" r="0" t="0"/>
            <wp:docPr descr="Рисунок 1 - Состояние подсистемы кеширования" title="Состояние подсистемы кеширования" id="26" name="Picture"/>
            <a:graphic>
              <a:graphicData uri="http://schemas.openxmlformats.org/drawingml/2006/picture">
                <pic:pic>
                  <pic:nvPicPr>
                    <pic:cNvPr descr="modules/Admin/Help/img/show-cache-state.png" id="27" name="Picture"/>
                    <pic:cNvPicPr>
                      <a:picLocks noChangeArrowheads="1" noChangeAspect="1"/>
                    </pic:cNvPicPr>
                  </pic:nvPicPr>
                  <pic:blipFill>
                    <a:blip r:embed="rId25"/>
                    <a:stretch>
                      <a:fillRect/>
                    </a:stretch>
                  </pic:blipFill>
                  <pic:spPr bwMode="auto">
                    <a:xfrm>
                      <a:off x="0" y="0"/>
                      <a:ext cx="5334000" cy="4090562"/>
                    </a:xfrm>
                    <a:prstGeom prst="rect">
                      <a:avLst/>
                    </a:prstGeom>
                    <a:noFill/>
                    <a:ln w="9525">
                      <a:noFill/>
                      <a:headEnd/>
                      <a:tailEnd/>
                    </a:ln>
                  </pic:spPr>
                </pic:pic>
              </a:graphicData>
            </a:graphic>
          </wp:inline>
        </w:drawing>
      </w:r>
    </w:p>
    <w:p>
      <w:pPr>
        <w:pStyle w:val="ImageCaption"/>
      </w:pPr>
      <w:r>
        <w:t xml:space="preserve">Рисунок 1 - Состояние подсистемы кеширования</w:t>
      </w:r>
    </w:p>
    <w:bookmarkStart w:id="28" w:name="условия-доступа"/>
    <w:p>
      <w:pPr>
        <w:pStyle w:val="Heading3"/>
      </w:pPr>
      <w:r>
        <w:t xml:space="preserve">1. Условия доступа</w:t>
      </w:r>
    </w:p>
    <w:p>
      <w:pPr>
        <w:pStyle w:val="FirstParagraph"/>
      </w:pPr>
      <w:r>
        <w:t xml:space="preserve">Страница относится к АРМ «Администратор» и проверяет право</w:t>
      </w:r>
      <w:r>
        <w:t xml:space="preserve"> </w:t>
      </w:r>
      <w:r>
        <w:rPr>
          <w:rStyle w:val="VerbatimChar"/>
        </w:rPr>
        <w:t xml:space="preserve">VIEW</w:t>
      </w:r>
      <w:r>
        <w:t xml:space="preserve"> </w:t>
      </w:r>
      <w:r>
        <w:t xml:space="preserve">на модуль</w:t>
      </w:r>
      <w:r>
        <w:t xml:space="preserve"> </w:t>
      </w:r>
      <w:r>
        <w:rPr>
          <w:rStyle w:val="VerbatimChar"/>
        </w:rPr>
        <w:t xml:space="preserve">Admin</w:t>
      </w:r>
      <w:r>
        <w:t xml:space="preserve">. Если у пользователя нет этого права, вместо статистики выводится сообщение об отсутствии доступа.</w:t>
      </w:r>
    </w:p>
    <w:bookmarkEnd w:id="28"/>
    <w:bookmarkStart w:id="29" w:name="режим-работы"/>
    <w:p>
      <w:pPr>
        <w:pStyle w:val="Heading3"/>
      </w:pPr>
      <w:r>
        <w:t xml:space="preserve">2. Режим работы</w:t>
      </w:r>
    </w:p>
    <w:p>
      <w:pPr>
        <w:pStyle w:val="FirstParagraph"/>
      </w:pPr>
      <w:r>
        <w:t xml:space="preserve">В верхней части страницы выводится активный режим кеширования:</w:t>
      </w:r>
    </w:p>
    <w:p>
      <w:pPr>
        <w:pStyle w:val="Compact"/>
        <w:numPr>
          <w:ilvl w:val="0"/>
          <w:numId w:val="1005"/>
        </w:numPr>
      </w:pPr>
      <w:r>
        <w:rPr>
          <w:rStyle w:val="VerbatimChar"/>
        </w:rPr>
        <w:t xml:space="preserve">APCU Активен (Shared Memory)</w:t>
      </w:r>
      <w:r>
        <w:t xml:space="preserve"> </w:t>
      </w:r>
      <w:r>
        <w:t xml:space="preserve">- данные персистентного уровня хранятся в общей памяти APCu;</w:t>
      </w:r>
    </w:p>
    <w:p>
      <w:pPr>
        <w:pStyle w:val="Compact"/>
        <w:numPr>
          <w:ilvl w:val="0"/>
          <w:numId w:val="1005"/>
        </w:numPr>
      </w:pPr>
      <w:r>
        <w:rPr>
          <w:rStyle w:val="VerbatimChar"/>
        </w:rPr>
        <w:t xml:space="preserve">SQLite Fallback Активен (Disk)</w:t>
      </w:r>
      <w:r>
        <w:t xml:space="preserve"> </w:t>
      </w:r>
      <w:r>
        <w:t xml:space="preserve">- APCu недоступен, поэтому используется SQLite-файл</w:t>
      </w:r>
      <w:r>
        <w:t xml:space="preserve"> </w:t>
      </w:r>
      <w:r>
        <w:rPr>
          <w:rStyle w:val="VerbatimChar"/>
        </w:rPr>
        <w:t xml:space="preserve">Cache.db</w:t>
      </w:r>
      <w:r>
        <w:t xml:space="preserve">;</w:t>
      </w:r>
    </w:p>
    <w:p>
      <w:pPr>
        <w:pStyle w:val="Compact"/>
        <w:numPr>
          <w:ilvl w:val="0"/>
          <w:numId w:val="1005"/>
        </w:numPr>
      </w:pPr>
      <w:r>
        <w:rPr>
          <w:rStyle w:val="VerbatimChar"/>
        </w:rPr>
        <w:t xml:space="preserve">Array Mode (Local Process Only)</w:t>
      </w:r>
      <w:r>
        <w:t xml:space="preserve"> </w:t>
      </w:r>
      <w:r>
        <w:t xml:space="preserve">- доступен только локальный кеш текущего PHP-процесса.</w:t>
      </w:r>
    </w:p>
    <w:bookmarkEnd w:id="29"/>
    <w:bookmarkStart w:id="30" w:name="уровень-l1"/>
    <w:p>
      <w:pPr>
        <w:pStyle w:val="Heading3"/>
      </w:pPr>
      <w:r>
        <w:t xml:space="preserve">3. Уровень L1</w:t>
      </w:r>
    </w:p>
    <w:p>
      <w:pPr>
        <w:pStyle w:val="FirstParagraph"/>
      </w:pPr>
      <w:r>
        <w:t xml:space="preserve">Блок</w:t>
      </w:r>
      <w:r>
        <w:t xml:space="preserve"> </w:t>
      </w:r>
      <w:r>
        <w:rPr>
          <w:rStyle w:val="VerbatimChar"/>
        </w:rPr>
        <w:t xml:space="preserve">Уровень L1 (Static Array)</w:t>
      </w:r>
      <w:r>
        <w:t xml:space="preserve"> </w:t>
      </w:r>
      <w:r>
        <w:t xml:space="preserve">показывает количество объектов, которые сейчас находятся в памяти текущего PHP-процесса. Этот уровень ускоряет повторное обращение к уже прочитанным значениям в рамках короткого периода работы процесса.</w:t>
      </w:r>
    </w:p>
    <w:bookmarkEnd w:id="30"/>
    <w:bookmarkStart w:id="31" w:name="уровень-l2"/>
    <w:p>
      <w:pPr>
        <w:pStyle w:val="Heading3"/>
      </w:pPr>
      <w:r>
        <w:t xml:space="preserve">4. Уровень L2</w:t>
      </w:r>
    </w:p>
    <w:p>
      <w:pPr>
        <w:pStyle w:val="FirstParagraph"/>
      </w:pPr>
      <w:r>
        <w:t xml:space="preserve">Состав блока L2 зависит от выбранного хранилища.</w:t>
      </w:r>
    </w:p>
    <w:p>
      <w:pPr>
        <w:pStyle w:val="BodyText"/>
      </w:pPr>
      <w:r>
        <w:t xml:space="preserve">Для APCu страница показывает:</w:t>
      </w:r>
    </w:p>
    <w:p>
      <w:pPr>
        <w:pStyle w:val="Compact"/>
        <w:numPr>
          <w:ilvl w:val="0"/>
          <w:numId w:val="1006"/>
        </w:numPr>
      </w:pPr>
      <w:r>
        <w:t xml:space="preserve">количество записей;</w:t>
      </w:r>
    </w:p>
    <w:p>
      <w:pPr>
        <w:pStyle w:val="Compact"/>
        <w:numPr>
          <w:ilvl w:val="0"/>
          <w:numId w:val="1006"/>
        </w:numPr>
      </w:pPr>
      <w:r>
        <w:t xml:space="preserve">занятый и общий объем shared memory;</w:t>
      </w:r>
    </w:p>
    <w:p>
      <w:pPr>
        <w:pStyle w:val="Compact"/>
        <w:numPr>
          <w:ilvl w:val="0"/>
          <w:numId w:val="1006"/>
        </w:numPr>
      </w:pPr>
      <w:r>
        <w:t xml:space="preserve">количество хитов и промахов;</w:t>
      </w:r>
    </w:p>
    <w:p>
      <w:pPr>
        <w:pStyle w:val="Compact"/>
        <w:numPr>
          <w:ilvl w:val="0"/>
          <w:numId w:val="1006"/>
        </w:numPr>
      </w:pPr>
      <w:r>
        <w:t xml:space="preserve">эффективность</w:t>
      </w:r>
      <w:r>
        <w:t xml:space="preserve"> </w:t>
      </w:r>
      <w:r>
        <w:rPr>
          <w:rStyle w:val="VerbatimChar"/>
        </w:rPr>
        <w:t xml:space="preserve">Hit Rate</w:t>
      </w:r>
      <w:r>
        <w:t xml:space="preserve">;</w:t>
      </w:r>
    </w:p>
    <w:p>
      <w:pPr>
        <w:pStyle w:val="Compact"/>
        <w:numPr>
          <w:ilvl w:val="0"/>
          <w:numId w:val="1006"/>
        </w:numPr>
      </w:pPr>
      <w:r>
        <w:t xml:space="preserve">количество вставок;</w:t>
      </w:r>
    </w:p>
    <w:p>
      <w:pPr>
        <w:pStyle w:val="Compact"/>
        <w:numPr>
          <w:ilvl w:val="0"/>
          <w:numId w:val="1006"/>
        </w:numPr>
      </w:pPr>
      <w:r>
        <w:t xml:space="preserve">время старта APCu;</w:t>
      </w:r>
    </w:p>
    <w:p>
      <w:pPr>
        <w:pStyle w:val="Compact"/>
        <w:numPr>
          <w:ilvl w:val="0"/>
          <w:numId w:val="1006"/>
        </w:numPr>
      </w:pPr>
      <w:r>
        <w:t xml:space="preserve">настройки</w:t>
      </w:r>
      <w:r>
        <w:t xml:space="preserve"> </w:t>
      </w:r>
      <w:r>
        <w:rPr>
          <w:rStyle w:val="VerbatimChar"/>
        </w:rPr>
        <w:t xml:space="preserve">apc.enabled</w:t>
      </w:r>
      <w:r>
        <w:t xml:space="preserve">,</w:t>
      </w:r>
      <w:r>
        <w:t xml:space="preserve"> </w:t>
      </w:r>
      <w:r>
        <w:rPr>
          <w:rStyle w:val="VerbatimChar"/>
        </w:rPr>
        <w:t xml:space="preserve">apc.shm_size</w:t>
      </w:r>
      <w:r>
        <w:t xml:space="preserve">,</w:t>
      </w:r>
      <w:r>
        <w:t xml:space="preserve"> </w:t>
      </w:r>
      <w:r>
        <w:rPr>
          <w:rStyle w:val="VerbatimChar"/>
        </w:rPr>
        <w:t xml:space="preserve">apc.enable_cli</w:t>
      </w:r>
      <w:r>
        <w:t xml:space="preserve">,</w:t>
      </w:r>
      <w:r>
        <w:t xml:space="preserve"> </w:t>
      </w:r>
      <w:r>
        <w:rPr>
          <w:rStyle w:val="VerbatimChar"/>
        </w:rPr>
        <w:t xml:space="preserve">apc.ttl</w:t>
      </w:r>
      <w:r>
        <w:t xml:space="preserve">.</w:t>
      </w:r>
    </w:p>
    <w:p>
      <w:pPr>
        <w:pStyle w:val="FirstParagraph"/>
      </w:pPr>
      <w:r>
        <w:t xml:space="preserve">Для SQLite fallback страница показывает количество записей и размер файла базы кеша.</w:t>
      </w:r>
    </w:p>
    <w:bookmarkEnd w:id="31"/>
    <w:bookmarkStart w:id="32" w:name="использование-памяти-apcu"/>
    <w:p>
      <w:pPr>
        <w:pStyle w:val="Heading3"/>
      </w:pPr>
      <w:r>
        <w:t xml:space="preserve">5. Использование памяти APCu</w:t>
      </w:r>
    </w:p>
    <w:p>
      <w:pPr>
        <w:pStyle w:val="FirstParagraph"/>
      </w:pPr>
      <w:r>
        <w:t xml:space="preserve">Если активен APCu, отдельный индикатор показывает процент занятой shared memory. Под индикатором выводятся размер сегмента, свободная память и количество очисток</w:t>
      </w:r>
      <w:r>
        <w:t xml:space="preserve"> </w:t>
      </w:r>
      <w:r>
        <w:rPr>
          <w:rStyle w:val="VerbatimChar"/>
        </w:rPr>
        <w:t xml:space="preserve">Expunges</w:t>
      </w:r>
      <w:r>
        <w:t xml:space="preserve">.</w:t>
      </w:r>
    </w:p>
    <w:bookmarkEnd w:id="32"/>
    <w:bookmarkStart w:id="33" w:name="действия"/>
    <w:p>
      <w:pPr>
        <w:pStyle w:val="Heading3"/>
      </w:pPr>
      <w:r>
        <w:t xml:space="preserve">6. Действия</w:t>
      </w:r>
    </w:p>
    <w:p>
      <w:pPr>
        <w:pStyle w:val="FirstParagraph"/>
      </w:pPr>
      <w:r>
        <w:t xml:space="preserve">Кнопка «Обновить данные» перечитывает статистику и перезагружает страницу.</w:t>
      </w:r>
    </w:p>
    <w:p>
      <w:pPr>
        <w:pStyle w:val="BodyText"/>
      </w:pPr>
      <w:r>
        <w:t xml:space="preserve">Кнопка «Очистить весь кеш» выполняет очистку системного кеша после подтверждения. Используйте ее только когда нужно сбросить устаревшие значения: после очистки первые обращения к страницам и данным могут выполняться медленнее, пока кеш снова не заполнится.</w:t>
      </w:r>
    </w:p>
    <w:bookmarkEnd w:id="33"/>
    <w:bookmarkEnd w:id="34"/>
    <w:bookmarkStart w:id="42" w:name="базы-данных-и-провайдеры-данных"/>
    <w:p>
      <w:pPr>
        <w:pStyle w:val="Heading2"/>
      </w:pPr>
      <w:r>
        <w:t xml:space="preserve">Базы данных и провайдеры данных</w:t>
      </w:r>
    </w:p>
    <w:p>
      <w:pPr>
        <w:pStyle w:val="FirstParagraph"/>
      </w:pPr>
      <w:r>
        <w:t xml:space="preserve">Сервер приложений ИРБИС 128 работает с базами данных через провайдеры данных. Провайдер скрывает особенности конкретного источника данных и предоставляет системе единый набор операций: подключение, поиск, чтение, форматирование и запись.</w:t>
      </w:r>
    </w:p>
    <w:p>
      <w:pPr>
        <w:pStyle w:val="BodyText"/>
      </w:pPr>
      <w:r>
        <w:t xml:space="preserve">Настройка провайдера выполняется в АРМ «Администратор» для конкретной записи БД. Окно настройки открывается из административных действий с базой данных и сохраняет параметры в секции</w:t>
      </w:r>
      <w:r>
        <w:t xml:space="preserve"> </w:t>
      </w:r>
      <w:r>
        <w:rPr>
          <w:rStyle w:val="VerbatimChar"/>
        </w:rPr>
        <w:t xml:space="preserve">PROVIDER</w:t>
      </w:r>
      <w:r>
        <w:t xml:space="preserve"> </w:t>
      </w:r>
      <w:r>
        <w:t xml:space="preserve">INI-файла БД.</w:t>
      </w:r>
    </w:p>
    <w:bookmarkStart w:id="35" w:name="типы-провайдеров"/>
    <w:p>
      <w:pPr>
        <w:pStyle w:val="Heading3"/>
      </w:pPr>
      <w:r>
        <w:t xml:space="preserve">1. Типы провайдеров</w:t>
      </w:r>
    </w:p>
    <w:p>
      <w:pPr>
        <w:pStyle w:val="FirstParagraph"/>
      </w:pPr>
      <w:r>
        <w:t xml:space="preserve">Текущий редактор свойств провайдера поддерживает следующие типы: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Тип</w:t>
            </w:r>
          </w:p>
        </w:tc>
        <w:tc>
          <w:tcPr/>
          <w:p>
            <w:pPr>
              <w:pStyle w:val="Compact"/>
            </w:pPr>
            <w:r>
              <w:t xml:space="preserve">Назначение</w:t>
            </w:r>
          </w:p>
        </w:tc>
      </w:tr>
      <w:tr>
        <w:tc>
          <w:tcPr/>
          <w:p>
            <w:pPr>
              <w:pStyle w:val="Compact"/>
            </w:pPr>
            <w:r>
              <w:rPr>
                <w:rStyle w:val="VerbatimChar"/>
              </w:rPr>
              <w:t xml:space="preserve">Irbis64r</w:t>
            </w:r>
          </w:p>
        </w:tc>
        <w:tc>
          <w:tcPr/>
          <w:p>
            <w:pPr>
              <w:pStyle w:val="Compact"/>
            </w:pPr>
            <w:r>
              <w:t xml:space="preserve">Подключение к TCP-серверу ИРБИС 64.</w:t>
            </w:r>
          </w:p>
        </w:tc>
      </w:tr>
      <w:tr>
        <w:tc>
          <w:tcPr/>
          <w:p>
            <w:pPr>
              <w:pStyle w:val="Compact"/>
            </w:pPr>
            <w:r>
              <w:rPr>
                <w:rStyle w:val="VerbatimChar"/>
              </w:rPr>
              <w:t xml:space="preserve">jirb</w:t>
            </w:r>
            <w:r>
              <w:t xml:space="preserve">,</w:t>
            </w:r>
            <w:r>
              <w:t xml:space="preserve"> </w:t>
            </w:r>
            <w:r>
              <w:rPr>
                <w:rStyle w:val="VerbatimChar"/>
              </w:rPr>
              <w:t xml:space="preserve">jirb2</w:t>
            </w:r>
          </w:p>
        </w:tc>
        <w:tc>
          <w:tcPr/>
          <w:p>
            <w:pPr>
              <w:pStyle w:val="Compact"/>
            </w:pPr>
            <w:r>
              <w:t xml:space="preserve">Подключение к J-ИРБИС.</w:t>
            </w:r>
          </w:p>
        </w:tc>
      </w:tr>
      <w:tr>
        <w:tc>
          <w:tcPr/>
          <w:p>
            <w:pPr>
              <w:pStyle w:val="Compact"/>
            </w:pPr>
            <w:r>
              <w:rPr>
                <w:rStyle w:val="VerbatimChar"/>
              </w:rPr>
              <w:t xml:space="preserve">MarcWeb</w:t>
            </w:r>
            <w:r>
              <w:t xml:space="preserve">,</w:t>
            </w:r>
            <w:r>
              <w:t xml:space="preserve"> </w:t>
            </w:r>
            <w:r>
              <w:rPr>
                <w:rStyle w:val="VerbatimChar"/>
              </w:rPr>
              <w:t xml:space="preserve">MarcWeb2</w:t>
            </w:r>
            <w:r>
              <w:t xml:space="preserve">,</w:t>
            </w:r>
            <w:r>
              <w:t xml:space="preserve"> </w:t>
            </w:r>
            <w:r>
              <w:rPr>
                <w:rStyle w:val="VerbatimChar"/>
              </w:rPr>
              <w:t xml:space="preserve">VTLS</w:t>
            </w:r>
          </w:p>
        </w:tc>
        <w:tc>
          <w:tcPr/>
          <w:p>
            <w:pPr>
              <w:pStyle w:val="Compact"/>
            </w:pPr>
            <w:r>
              <w:t xml:space="preserve">Подключение к внешним Web-каталогам соответствующих типов.</w:t>
            </w:r>
          </w:p>
        </w:tc>
      </w:tr>
      <w:tr>
        <w:tc>
          <w:tcPr/>
          <w:p>
            <w:pPr>
              <w:pStyle w:val="Compact"/>
            </w:pPr>
            <w:r>
              <w:rPr>
                <w:rStyle w:val="VerbatimChar"/>
              </w:rPr>
              <w:t xml:space="preserve">webirb</w:t>
            </w:r>
          </w:p>
        </w:tc>
        <w:tc>
          <w:tcPr/>
          <w:p>
            <w:pPr>
              <w:pStyle w:val="Compact"/>
            </w:pPr>
            <w:r>
              <w:t xml:space="preserve">Подключение к Web-ИРБИС 32/64/64+.</w:t>
            </w:r>
          </w:p>
        </w:tc>
      </w:tr>
      <w:tr>
        <w:tc>
          <w:tcPr/>
          <w:p>
            <w:pPr>
              <w:pStyle w:val="Compact"/>
            </w:pPr>
            <w:r>
              <w:rPr>
                <w:rStyle w:val="VerbatimChar"/>
              </w:rPr>
              <w:t xml:space="preserve">i128</w:t>
            </w:r>
          </w:p>
        </w:tc>
        <w:tc>
          <w:tcPr/>
          <w:p>
            <w:pPr>
              <w:pStyle w:val="Compact"/>
            </w:pPr>
            <w:r>
              <w:t xml:space="preserve">Подключение к ИРБИС 64/128.</w:t>
            </w:r>
          </w:p>
        </w:tc>
      </w:tr>
      <w:tr>
        <w:tc>
          <w:tcPr/>
          <w:p>
            <w:pPr>
              <w:pStyle w:val="Compact"/>
            </w:pPr>
            <w:r>
              <w:rPr>
                <w:rStyle w:val="VerbatimChar"/>
              </w:rPr>
              <w:t xml:space="preserve">raidb0</w:t>
            </w:r>
          </w:p>
        </w:tc>
        <w:tc>
          <w:tcPr/>
          <w:p>
            <w:pPr>
              <w:pStyle w:val="Compact"/>
            </w:pPr>
            <w:r>
              <w:t xml:space="preserve">Логическое объединение нескольких БД в одну.</w:t>
            </w:r>
          </w:p>
        </w:tc>
      </w:tr>
      <w:tr>
        <w:tc>
          <w:tcPr/>
          <w:p>
            <w:pPr>
              <w:pStyle w:val="Compact"/>
            </w:pPr>
            <w:r>
              <w:rPr>
                <w:rStyle w:val="VerbatimChar"/>
              </w:rPr>
              <w:t xml:space="preserve">Local</w:t>
            </w:r>
          </w:p>
        </w:tc>
        <w:tc>
          <w:tcPr/>
          <w:p>
            <w:pPr>
              <w:pStyle w:val="Compact"/>
            </w:pPr>
            <w:r>
              <w:t xml:space="preserve">Локальная БД на основном сервере ИРБИС 64.</w:t>
            </w:r>
          </w:p>
        </w:tc>
      </w:tr>
      <w:tr>
        <w:tc>
          <w:tcPr/>
          <w:p>
            <w:pPr>
              <w:pStyle w:val="Compact"/>
            </w:pPr>
            <w:r>
              <w:rPr>
                <w:rStyle w:val="VerbatimChar"/>
              </w:rPr>
              <w:t xml:space="preserve">EKBSON</w:t>
            </w:r>
          </w:p>
        </w:tc>
        <w:tc>
          <w:tcPr/>
          <w:p>
            <w:pPr>
              <w:pStyle w:val="Compact"/>
            </w:pPr>
            <w:r>
              <w:t xml:space="preserve">Сводная БД ИС ЭКБСОН.</w:t>
            </w:r>
          </w:p>
        </w:tc>
      </w:tr>
      <w:tr>
        <w:tc>
          <w:tcPr/>
          <w:p>
            <w:pPr>
              <w:pStyle w:val="Compact"/>
            </w:pPr>
            <w:r>
              <w:rPr>
                <w:rStyle w:val="VerbatimChar"/>
              </w:rPr>
              <w:t xml:space="preserve">z3950</w:t>
            </w:r>
          </w:p>
        </w:tc>
        <w:tc>
          <w:tcPr/>
          <w:p>
            <w:pPr>
              <w:pStyle w:val="Compact"/>
            </w:pPr>
            <w:r>
              <w:t xml:space="preserve">Подключение к серверу Z39.50.</w:t>
            </w:r>
          </w:p>
        </w:tc>
      </w:tr>
    </w:tbl>
    <w:p>
      <w:pPr>
        <w:pStyle w:val="BodyText"/>
      </w:pPr>
      <w:r>
        <w:t xml:space="preserve">При открытии БД система читает</w:t>
      </w:r>
      <w:r>
        <w:t xml:space="preserve"> </w:t>
      </w:r>
      <w:r>
        <w:rPr>
          <w:rStyle w:val="VerbatimChar"/>
        </w:rPr>
        <w:t xml:space="preserve">PROVIDER.TYPE</w:t>
      </w:r>
      <w:r>
        <w:t xml:space="preserve"> </w:t>
      </w:r>
      <w:r>
        <w:t xml:space="preserve">и выбирает соответствующий модуль провайдера. Например, для типа</w:t>
      </w:r>
      <w:r>
        <w:t xml:space="preserve"> </w:t>
      </w:r>
      <w:r>
        <w:rPr>
          <w:rStyle w:val="VerbatimChar"/>
        </w:rPr>
        <w:t xml:space="preserve">webirb</w:t>
      </w:r>
      <w:r>
        <w:t xml:space="preserve"> </w:t>
      </w:r>
      <w:r>
        <w:t xml:space="preserve">используется модуль</w:t>
      </w:r>
      <w:r>
        <w:t xml:space="preserve"> </w:t>
      </w:r>
      <w:r>
        <w:rPr>
          <w:rStyle w:val="VerbatimChar"/>
        </w:rPr>
        <w:t xml:space="preserve">DP_webirb</w:t>
      </w:r>
      <w:r>
        <w:t xml:space="preserve">, для</w:t>
      </w:r>
      <w:r>
        <w:t xml:space="preserve"> </w:t>
      </w:r>
      <w:r>
        <w:rPr>
          <w:rStyle w:val="VerbatimChar"/>
        </w:rPr>
        <w:t xml:space="preserve">raidb0</w:t>
      </w:r>
      <w:r>
        <w:t xml:space="preserve"> </w:t>
      </w:r>
      <w:r>
        <w:t xml:space="preserve">-</w:t>
      </w:r>
      <w:r>
        <w:t xml:space="preserve"> </w:t>
      </w:r>
      <w:r>
        <w:rPr>
          <w:rStyle w:val="VerbatimChar"/>
        </w:rPr>
        <w:t xml:space="preserve">DP_raidb0</w:t>
      </w:r>
      <w:r>
        <w:t xml:space="preserve">.</w:t>
      </w:r>
    </w:p>
    <w:bookmarkEnd w:id="35"/>
    <w:bookmarkStart w:id="36" w:name="общие-параметры"/>
    <w:p>
      <w:pPr>
        <w:pStyle w:val="Heading3"/>
      </w:pPr>
      <w:r>
        <w:t xml:space="preserve">2. Общие параметры</w:t>
      </w:r>
    </w:p>
    <w:p>
      <w:pPr>
        <w:pStyle w:val="FirstParagraph"/>
      </w:pPr>
      <w:r>
        <w:t xml:space="preserve">Набор полей в окне настройки зависит от выбранного типа провайдера.</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Использование</w:t>
            </w:r>
          </w:p>
        </w:tc>
      </w:tr>
      <w:tr>
        <w:tc>
          <w:tcPr/>
          <w:p>
            <w:pPr>
              <w:pStyle w:val="Compact"/>
            </w:pPr>
            <w:r>
              <w:rPr>
                <w:rStyle w:val="VerbatimChar"/>
              </w:rPr>
              <w:t xml:space="preserve">TYPE</w:t>
            </w:r>
          </w:p>
        </w:tc>
        <w:tc>
          <w:tcPr/>
          <w:p>
            <w:pPr>
              <w:pStyle w:val="Compact"/>
            </w:pPr>
            <w:r>
              <w:t xml:space="preserve">Тип провайдера данных.</w:t>
            </w:r>
          </w:p>
        </w:tc>
      </w:tr>
      <w:tr>
        <w:tc>
          <w:tcPr/>
          <w:p>
            <w:pPr>
              <w:pStyle w:val="Compact"/>
            </w:pPr>
            <w:r>
              <w:rPr>
                <w:rStyle w:val="VerbatimChar"/>
              </w:rPr>
              <w:t xml:space="preserve">HOST</w:t>
            </w:r>
            <w:r>
              <w:t xml:space="preserve">,</w:t>
            </w:r>
            <w:r>
              <w:t xml:space="preserve"> </w:t>
            </w:r>
            <w:r>
              <w:rPr>
                <w:rStyle w:val="VerbatimChar"/>
              </w:rPr>
              <w:t xml:space="preserve">PORT</w:t>
            </w:r>
          </w:p>
        </w:tc>
        <w:tc>
          <w:tcPr/>
          <w:p>
            <w:pPr>
              <w:pStyle w:val="Compact"/>
            </w:pPr>
            <w:r>
              <w:t xml:space="preserve">Адрес и порт подключаемого сервера.</w:t>
            </w:r>
          </w:p>
        </w:tc>
      </w:tr>
      <w:tr>
        <w:tc>
          <w:tcPr/>
          <w:p>
            <w:pPr>
              <w:pStyle w:val="Compact"/>
            </w:pPr>
            <w:r>
              <w:rPr>
                <w:rStyle w:val="VerbatimChar"/>
              </w:rPr>
              <w:t xml:space="preserve">TIMEOUT</w:t>
            </w:r>
          </w:p>
        </w:tc>
        <w:tc>
          <w:tcPr/>
          <w:p>
            <w:pPr>
              <w:pStyle w:val="Compact"/>
            </w:pPr>
            <w:r>
              <w:t xml:space="preserve">Таймаут соединения.</w:t>
            </w:r>
          </w:p>
        </w:tc>
      </w:tr>
      <w:tr>
        <w:tc>
          <w:tcPr/>
          <w:p>
            <w:pPr>
              <w:pStyle w:val="Compact"/>
            </w:pPr>
            <w:r>
              <w:rPr>
                <w:rStyle w:val="VerbatimChar"/>
              </w:rPr>
              <w:t xml:space="preserve">LOGIN</w:t>
            </w:r>
            <w:r>
              <w:t xml:space="preserve">,</w:t>
            </w:r>
            <w:r>
              <w:t xml:space="preserve"> </w:t>
            </w:r>
            <w:r>
              <w:rPr>
                <w:rStyle w:val="VerbatimChar"/>
              </w:rPr>
              <w:t xml:space="preserve">PW</w:t>
            </w:r>
          </w:p>
        </w:tc>
        <w:tc>
          <w:tcPr/>
          <w:p>
            <w:pPr>
              <w:pStyle w:val="Compact"/>
            </w:pPr>
            <w:r>
              <w:t xml:space="preserve">Учетные данные для провайдеров, которые поддерживают авторизацию.</w:t>
            </w:r>
          </w:p>
        </w:tc>
      </w:tr>
      <w:tr>
        <w:tc>
          <w:tcPr/>
          <w:p>
            <w:pPr>
              <w:pStyle w:val="Compact"/>
            </w:pPr>
            <w:r>
              <w:rPr>
                <w:rStyle w:val="VerbatimChar"/>
              </w:rPr>
              <w:t xml:space="preserve">DB</w:t>
            </w:r>
          </w:p>
        </w:tc>
        <w:tc>
          <w:tcPr/>
          <w:p>
            <w:pPr>
              <w:pStyle w:val="Compact"/>
            </w:pPr>
            <w:r>
              <w:t xml:space="preserve">Имя БД на подключаемом сервере.</w:t>
            </w:r>
          </w:p>
        </w:tc>
      </w:tr>
      <w:tr>
        <w:tc>
          <w:tcPr/>
          <w:p>
            <w:pPr>
              <w:pStyle w:val="Compact"/>
            </w:pPr>
            <w:r>
              <w:rPr>
                <w:rStyle w:val="VerbatimChar"/>
              </w:rPr>
              <w:t xml:space="preserve">REMOTECP</w:t>
            </w:r>
          </w:p>
        </w:tc>
        <w:tc>
          <w:tcPr/>
          <w:p>
            <w:pPr>
              <w:pStyle w:val="Compact"/>
            </w:pPr>
            <w:r>
              <w:t xml:space="preserve">Кодировка данных удаленной системы.</w:t>
            </w:r>
          </w:p>
        </w:tc>
      </w:tr>
      <w:tr>
        <w:tc>
          <w:tcPr/>
          <w:p>
            <w:pPr>
              <w:pStyle w:val="Compact"/>
            </w:pPr>
            <w:r>
              <w:rPr>
                <w:rStyle w:val="VerbatimChar"/>
              </w:rPr>
              <w:t xml:space="preserve">PROXY</w:t>
            </w:r>
            <w:r>
              <w:t xml:space="preserve">,</w:t>
            </w:r>
            <w:r>
              <w:t xml:space="preserve"> </w:t>
            </w:r>
            <w:r>
              <w:rPr>
                <w:rStyle w:val="VerbatimChar"/>
              </w:rPr>
              <w:t xml:space="preserve">PROXYLOGIN</w:t>
            </w:r>
            <w:r>
              <w:t xml:space="preserve">,</w:t>
            </w:r>
            <w:r>
              <w:t xml:space="preserve"> </w:t>
            </w:r>
            <w:r>
              <w:rPr>
                <w:rStyle w:val="VerbatimChar"/>
              </w:rPr>
              <w:t xml:space="preserve">PROXYPASSWORD</w:t>
            </w:r>
          </w:p>
        </w:tc>
        <w:tc>
          <w:tcPr/>
          <w:p>
            <w:pPr>
              <w:pStyle w:val="Compact"/>
            </w:pPr>
            <w:r>
              <w:t xml:space="preserve">Параметры прокси-сервера для провайдеров, где доступ выполняется через HTTP.</w:t>
            </w:r>
          </w:p>
        </w:tc>
      </w:tr>
      <w:tr>
        <w:tc>
          <w:tcPr/>
          <w:p>
            <w:pPr>
              <w:pStyle w:val="Compact"/>
            </w:pPr>
            <w:r>
              <w:rPr>
                <w:rStyle w:val="VerbatimChar"/>
              </w:rPr>
              <w:t xml:space="preserve">FMT</w:t>
            </w:r>
          </w:p>
        </w:tc>
        <w:tc>
          <w:tcPr/>
          <w:p>
            <w:pPr>
              <w:pStyle w:val="Compact"/>
            </w:pPr>
            <w:r>
              <w:t xml:space="preserve">Формат для разбора записей или ответа внешней системы.</w:t>
            </w:r>
          </w:p>
        </w:tc>
      </w:tr>
      <w:tr>
        <w:tc>
          <w:tcPr/>
          <w:p>
            <w:pPr>
              <w:pStyle w:val="Compact"/>
            </w:pPr>
            <w:r>
              <w:rPr>
                <w:rStyle w:val="VerbatimChar"/>
              </w:rPr>
              <w:t xml:space="preserve">FSTINNAME</w:t>
            </w:r>
          </w:p>
        </w:tc>
        <w:tc>
          <w:tcPr/>
          <w:p>
            <w:pPr>
              <w:pStyle w:val="Compact"/>
            </w:pPr>
            <w:r>
              <w:t xml:space="preserve">Формат входных записей для провайдеров, которым нужна конвертация.</w:t>
            </w:r>
          </w:p>
        </w:tc>
      </w:tr>
    </w:tbl>
    <w:bookmarkEnd w:id="36"/>
    <w:bookmarkStart w:id="37" w:name="провайдер-raidb0"/>
    <w:p>
      <w:pPr>
        <w:pStyle w:val="Heading3"/>
      </w:pPr>
      <w:r>
        <w:t xml:space="preserve">3. Провайдер</w:t>
      </w:r>
      <w:r>
        <w:t xml:space="preserve"> </w:t>
      </w:r>
      <w:r>
        <w:rPr>
          <w:rStyle w:val="VerbatimChar"/>
        </w:rPr>
        <w:t xml:space="preserve">raidb0</w:t>
      </w:r>
    </w:p>
    <w:p>
      <w:pPr>
        <w:pStyle w:val="FirstParagraph"/>
      </w:pPr>
      <w:r>
        <w:t xml:space="preserve">Провайдер</w:t>
      </w:r>
      <w:r>
        <w:t xml:space="preserve"> </w:t>
      </w:r>
      <w:r>
        <w:rPr>
          <w:rStyle w:val="VerbatimChar"/>
        </w:rPr>
        <w:t xml:space="preserve">raidb0</w:t>
      </w:r>
      <w:r>
        <w:t xml:space="preserve"> </w:t>
      </w:r>
      <w:r>
        <w:t xml:space="preserve">используется, когда одну логическую БД нужно собрать из нескольких физических БД. В настройках указываются подключенные БД и вес записи в каждую из них.</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Назначение</w:t>
            </w:r>
          </w:p>
        </w:tc>
      </w:tr>
      <w:tr>
        <w:tc>
          <w:tcPr/>
          <w:p>
            <w:pPr>
              <w:pStyle w:val="Compact"/>
            </w:pPr>
            <w:r>
              <w:rPr>
                <w:rStyle w:val="VerbatimChar"/>
              </w:rPr>
              <w:t xml:space="preserve">SUBDBS_COUNT</w:t>
            </w:r>
          </w:p>
        </w:tc>
        <w:tc>
          <w:tcPr/>
          <w:p>
            <w:pPr>
              <w:pStyle w:val="Compact"/>
            </w:pPr>
            <w:r>
              <w:t xml:space="preserve">Количество подключенных БД. Заполняется автоматически при сохранении настроек.</w:t>
            </w:r>
          </w:p>
        </w:tc>
      </w:tr>
      <w:tr>
        <w:tc>
          <w:tcPr/>
          <w:p>
            <w:pPr>
              <w:pStyle w:val="Compact"/>
            </w:pPr>
            <w:r>
              <w:rPr>
                <w:rStyle w:val="VerbatimChar"/>
              </w:rPr>
              <w:t xml:space="preserve">SUBDBSCFG_&lt;N&gt;_NAME</w:t>
            </w:r>
          </w:p>
        </w:tc>
        <w:tc>
          <w:tcPr/>
          <w:p>
            <w:pPr>
              <w:pStyle w:val="Compact"/>
            </w:pPr>
            <w:r>
              <w:t xml:space="preserve">Имя подключенной БД с номером</w:t>
            </w:r>
            <w:r>
              <w:t xml:space="preserve"> </w:t>
            </w:r>
            <w:r>
              <w:rPr>
                <w:rStyle w:val="VerbatimChar"/>
              </w:rPr>
              <w:t xml:space="preserve">&lt;N&gt;</w:t>
            </w:r>
            <w:r>
              <w:t xml:space="preserve">.</w:t>
            </w:r>
          </w:p>
        </w:tc>
      </w:tr>
      <w:tr>
        <w:tc>
          <w:tcPr/>
          <w:p>
            <w:pPr>
              <w:pStyle w:val="Compact"/>
            </w:pPr>
            <w:r>
              <w:rPr>
                <w:rStyle w:val="VerbatimChar"/>
              </w:rPr>
              <w:t xml:space="preserve">SUBDBSCFG_&lt;N&gt;_WRITEWEIGHT</w:t>
            </w:r>
          </w:p>
        </w:tc>
        <w:tc>
          <w:tcPr/>
          <w:p>
            <w:pPr>
              <w:pStyle w:val="Compact"/>
            </w:pPr>
            <w:r>
              <w:t xml:space="preserve">Вес записи в указанную БД. Используется для распределения записей между подключенными БД.</w:t>
            </w:r>
          </w:p>
        </w:tc>
      </w:tr>
    </w:tbl>
    <w:bookmarkEnd w:id="37"/>
    <w:bookmarkStart w:id="39" w:name="провайдер-z39.50"/>
    <w:p>
      <w:pPr>
        <w:pStyle w:val="Heading3"/>
      </w:pPr>
      <w:r>
        <w:t xml:space="preserve">4. Провайдер Z39.50</w:t>
      </w:r>
    </w:p>
    <w:p>
      <w:pPr>
        <w:pStyle w:val="FirstParagraph"/>
      </w:pPr>
      <w:r>
        <w:t xml:space="preserve">Для работы провайдера Z39.50 требуется PHP-модуль</w:t>
      </w:r>
      <w:r>
        <w:t xml:space="preserve"> </w:t>
      </w:r>
      <w:r>
        <w:rPr>
          <w:rStyle w:val="VerbatimChar"/>
        </w:rPr>
        <w:t xml:space="preserve">yaz</w:t>
      </w:r>
      <w:r>
        <w:t xml:space="preserve">. Это требование также зафиксировано в разделе</w:t>
      </w:r>
      <w:r>
        <w:t xml:space="preserve"> </w:t>
      </w:r>
      <w:hyperlink r:id="rId38">
        <w:r>
          <w:rPr>
            <w:rStyle w:val="Hyperlink"/>
          </w:rPr>
          <w:t xml:space="preserve">системных требований</w:t>
        </w:r>
      </w:hyperlink>
      <w:r>
        <w:t xml:space="preserve">.</w:t>
      </w:r>
    </w:p>
    <w:p>
      <w:pPr>
        <w:pStyle w:val="BodyText"/>
      </w:pPr>
      <w:r>
        <w:t xml:space="preserve">Основные параметры Z39.50:</w:t>
      </w:r>
      <w:r>
        <w:t xml:space="preserve"> </w:t>
      </w:r>
      <w:r>
        <w:rPr>
          <w:rStyle w:val="VerbatimChar"/>
        </w:rPr>
        <w:t xml:space="preserve">HOST</w:t>
      </w:r>
      <w:r>
        <w:t xml:space="preserve">,</w:t>
      </w:r>
      <w:r>
        <w:t xml:space="preserve"> </w:t>
      </w:r>
      <w:r>
        <w:rPr>
          <w:rStyle w:val="VerbatimChar"/>
        </w:rPr>
        <w:t xml:space="preserve">PORT</w:t>
      </w:r>
      <w:r>
        <w:t xml:space="preserve">,</w:t>
      </w:r>
      <w:r>
        <w:t xml:space="preserve"> </w:t>
      </w:r>
      <w:r>
        <w:rPr>
          <w:rStyle w:val="VerbatimChar"/>
        </w:rPr>
        <w:t xml:space="preserve">LOGIN</w:t>
      </w:r>
      <w:r>
        <w:t xml:space="preserve">,</w:t>
      </w:r>
      <w:r>
        <w:t xml:space="preserve"> </w:t>
      </w:r>
      <w:r>
        <w:rPr>
          <w:rStyle w:val="VerbatimChar"/>
        </w:rPr>
        <w:t xml:space="preserve">PW</w:t>
      </w:r>
      <w:r>
        <w:t xml:space="preserve">,</w:t>
      </w:r>
      <w:r>
        <w:t xml:space="preserve"> </w:t>
      </w:r>
      <w:r>
        <w:rPr>
          <w:rStyle w:val="VerbatimChar"/>
        </w:rPr>
        <w:t xml:space="preserve">DB</w:t>
      </w:r>
      <w:r>
        <w:t xml:space="preserve">,</w:t>
      </w:r>
      <w:r>
        <w:t xml:space="preserve"> </w:t>
      </w:r>
      <w:r>
        <w:rPr>
          <w:rStyle w:val="VerbatimChar"/>
        </w:rPr>
        <w:t xml:space="preserve">TIMEOUT</w:t>
      </w:r>
      <w:r>
        <w:t xml:space="preserve">,</w:t>
      </w:r>
      <w:r>
        <w:t xml:space="preserve"> </w:t>
      </w:r>
      <w:r>
        <w:rPr>
          <w:rStyle w:val="VerbatimChar"/>
        </w:rPr>
        <w:t xml:space="preserve">REMOTECP</w:t>
      </w:r>
      <w:r>
        <w:t xml:space="preserve">,</w:t>
      </w:r>
      <w:r>
        <w:t xml:space="preserve"> </w:t>
      </w:r>
      <w:r>
        <w:rPr>
          <w:rStyle w:val="VerbatimChar"/>
        </w:rPr>
        <w:t xml:space="preserve">FMT</w:t>
      </w:r>
      <w:r>
        <w:t xml:space="preserve">,</w:t>
      </w:r>
      <w:r>
        <w:t xml:space="preserve"> </w:t>
      </w:r>
      <w:r>
        <w:rPr>
          <w:rStyle w:val="VerbatimChar"/>
        </w:rPr>
        <w:t xml:space="preserve">FSTINNAME</w:t>
      </w:r>
      <w:r>
        <w:t xml:space="preserve">.</w:t>
      </w:r>
    </w:p>
    <w:bookmarkEnd w:id="39"/>
    <w:bookmarkStart w:id="41" w:name="связь-с-основным-провайдером-системы"/>
    <w:p>
      <w:pPr>
        <w:pStyle w:val="Heading3"/>
      </w:pPr>
      <w:r>
        <w:t xml:space="preserve">5. Связь с основным провайдером системы</w:t>
      </w:r>
    </w:p>
    <w:p>
      <w:pPr>
        <w:pStyle w:val="FirstParagraph"/>
      </w:pPr>
      <w:r>
        <w:t xml:space="preserve">Параметр</w:t>
      </w:r>
      <w:r>
        <w:t xml:space="preserve"> </w:t>
      </w:r>
      <w:r>
        <w:rPr>
          <w:rStyle w:val="VerbatimChar"/>
        </w:rPr>
        <w:t xml:space="preserve">$OPTIONS['localProvider']</w:t>
      </w:r>
      <w:r>
        <w:t xml:space="preserve"> </w:t>
      </w:r>
      <w:r>
        <w:t xml:space="preserve">задает основной провайдер данных системы. Для локального файлового доступа может использоваться нативный провайдер</w:t>
      </w:r>
      <w:r>
        <w:t xml:space="preserve"> </w:t>
      </w:r>
      <w:hyperlink r:id="rId40">
        <w:r>
          <w:rPr>
            <w:rStyle w:val="Hyperlink"/>
          </w:rPr>
          <w:t xml:space="preserve">DP_Irbis64Native</w:t>
        </w:r>
      </w:hyperlink>
      <w:r>
        <w:t xml:space="preserve">. Его текущее значение и доступные системные параметры описаны в разделе</w:t>
      </w:r>
      <w:r>
        <w:t xml:space="preserve"> </w:t>
      </w:r>
      <w:hyperlink r:id="rId18">
        <w:r>
          <w:rPr>
            <w:rStyle w:val="Hyperlink"/>
          </w:rPr>
          <w:t xml:space="preserve">параметров ядра</w:t>
        </w:r>
      </w:hyperlink>
      <w:r>
        <w:t xml:space="preserve">.</w:t>
      </w:r>
    </w:p>
    <w:bookmarkEnd w:id="41"/>
    <w:bookmarkEnd w:id="42"/>
    <w:bookmarkStart w:id="54" w:name="подготовка-администратора-организации"/>
    <w:p>
      <w:pPr>
        <w:pStyle w:val="Heading2"/>
      </w:pPr>
      <w:r>
        <w:t xml:space="preserve">Подготовка администратора организации</w:t>
      </w:r>
    </w:p>
    <w:p>
      <w:pPr>
        <w:pStyle w:val="FirstParagraph"/>
      </w:pPr>
      <w:r>
        <w:t xml:space="preserve">Этот сценарий описывает подготовку организации или филиала к самостоятельной работе в системе: создание связанных БД, заполнение карточки организации, настройку профилей модулей, выдачу прав и назначение роли ответственному пользователю.</w:t>
      </w:r>
    </w:p>
    <w:p>
      <w:pPr>
        <w:pStyle w:val="BodyText"/>
      </w:pPr>
      <w:r>
        <w:t xml:space="preserve">Источник сценария - документ старой инструкции «Создание учетной записи администратора организации». При переносе сохранён порядок работ, но не копируются устаревшие экранные формы: фактические поля и действия нужно сверять с текущими модулями</w:t>
      </w:r>
      <w:r>
        <w:t xml:space="preserve"> </w:t>
      </w:r>
      <w:r>
        <w:rPr>
          <w:rStyle w:val="VerbatimChar"/>
        </w:rPr>
        <w:t xml:space="preserve">Admin</w:t>
      </w:r>
      <w:r>
        <w:t xml:space="preserve">,</w:t>
      </w:r>
      <w:r>
        <w:t xml:space="preserve"> </w:t>
      </w:r>
      <w:r>
        <w:rPr>
          <w:rStyle w:val="VerbatimChar"/>
        </w:rPr>
        <w:t xml:space="preserve">Organisations</w:t>
      </w:r>
      <w:r>
        <w:t xml:space="preserve">,</w:t>
      </w:r>
      <w:r>
        <w:t xml:space="preserve"> </w:t>
      </w:r>
      <w:r>
        <w:rPr>
          <w:rStyle w:val="VerbatimChar"/>
        </w:rPr>
        <w:t xml:space="preserve">Security</w:t>
      </w:r>
      <w:r>
        <w:t xml:space="preserve">,</w:t>
      </w:r>
      <w:r>
        <w:t xml:space="preserve"> </w:t>
      </w:r>
      <w:r>
        <w:rPr>
          <w:rStyle w:val="VerbatimChar"/>
        </w:rPr>
        <w:t xml:space="preserve">Users</w:t>
      </w:r>
      <w:r>
        <w:t xml:space="preserve">,</w:t>
      </w:r>
      <w:r>
        <w:t xml:space="preserve"> </w:t>
      </w:r>
      <w:r>
        <w:rPr>
          <w:rStyle w:val="VerbatimChar"/>
        </w:rPr>
        <w:t xml:space="preserve">CSpider</w:t>
      </w:r>
      <w:r>
        <w:t xml:space="preserve">,</w:t>
      </w:r>
      <w:r>
        <w:t xml:space="preserve"> </w:t>
      </w:r>
      <w:r>
        <w:rPr>
          <w:rStyle w:val="VerbatimChar"/>
        </w:rPr>
        <w:t xml:space="preserve">Cataloguer</w:t>
      </w:r>
      <w:r>
        <w:t xml:space="preserve">,</w:t>
      </w:r>
      <w:r>
        <w:t xml:space="preserve"> </w:t>
      </w:r>
      <w:r>
        <w:rPr>
          <w:rStyle w:val="VerbatimChar"/>
        </w:rPr>
        <w:t xml:space="preserve">Bookland</w:t>
      </w:r>
      <w:r>
        <w:t xml:space="preserve">,</w:t>
      </w:r>
      <w:r>
        <w:t xml:space="preserve"> </w:t>
      </w:r>
      <w:r>
        <w:rPr>
          <w:rStyle w:val="VerbatimChar"/>
        </w:rPr>
        <w:t xml:space="preserve">Complectator</w:t>
      </w:r>
      <w:r>
        <w:t xml:space="preserve"> </w:t>
      </w:r>
      <w:r>
        <w:t xml:space="preserve">и</w:t>
      </w:r>
      <w:r>
        <w:t xml:space="preserve"> </w:t>
      </w:r>
      <w:r>
        <w:rPr>
          <w:rStyle w:val="VerbatimChar"/>
        </w:rPr>
        <w:t xml:space="preserve">EC</w:t>
      </w:r>
      <w:r>
        <w:t xml:space="preserve">.</w:t>
      </w:r>
    </w:p>
    <w:bookmarkStart w:id="43" w:name="предварительные-данные"/>
    <w:p>
      <w:pPr>
        <w:pStyle w:val="Heading3"/>
      </w:pPr>
      <w:r>
        <w:t xml:space="preserve">1. Предварительные данные</w:t>
      </w:r>
    </w:p>
    <w:p>
      <w:pPr>
        <w:pStyle w:val="FirstParagraph"/>
      </w:pPr>
      <w:r>
        <w:t xml:space="preserve">До настройки соберите по каждой организации рабочую матрицу доступа:</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Данные</w:t>
            </w:r>
          </w:p>
        </w:tc>
        <w:tc>
          <w:tcPr/>
          <w:p>
            <w:pPr>
              <w:pStyle w:val="Compact"/>
            </w:pPr>
            <w:r>
              <w:t xml:space="preserve">Для чего используются</w:t>
            </w:r>
          </w:p>
        </w:tc>
      </w:tr>
      <w:tr>
        <w:tc>
          <w:tcPr/>
          <w:p>
            <w:pPr>
              <w:pStyle w:val="Compact"/>
            </w:pPr>
            <w:r>
              <w:t xml:space="preserve">Название организации или филиала</w:t>
            </w:r>
          </w:p>
        </w:tc>
        <w:tc>
          <w:tcPr/>
          <w:p>
            <w:pPr>
              <w:pStyle w:val="Compact"/>
            </w:pPr>
            <w:r>
              <w:t xml:space="preserve">Запись в модуле</w:t>
            </w:r>
            <w:r>
              <w:t xml:space="preserve"> </w:t>
            </w:r>
            <w:r>
              <w:rPr>
                <w:rStyle w:val="VerbatimChar"/>
              </w:rPr>
              <w:t xml:space="preserve">Organisations</w:t>
            </w:r>
            <w:r>
              <w:t xml:space="preserve"> </w:t>
            </w:r>
            <w:r>
              <w:t xml:space="preserve">и отображение в связанных сценариях.</w:t>
            </w:r>
          </w:p>
        </w:tc>
      </w:tr>
      <w:tr>
        <w:tc>
          <w:tcPr/>
          <w:p>
            <w:pPr>
              <w:pStyle w:val="Compact"/>
            </w:pPr>
            <w:r>
              <w:t xml:space="preserve">Базы электронного каталога</w:t>
            </w:r>
          </w:p>
        </w:tc>
        <w:tc>
          <w:tcPr/>
          <w:p>
            <w:pPr>
              <w:pStyle w:val="Compact"/>
            </w:pPr>
            <w:r>
              <w:t xml:space="preserve">Связь организации с каталогами и настройками сводного каталога.</w:t>
            </w:r>
          </w:p>
        </w:tc>
      </w:tr>
      <w:tr>
        <w:tc>
          <w:tcPr/>
          <w:p>
            <w:pPr>
              <w:pStyle w:val="Compact"/>
            </w:pPr>
            <w:r>
              <w:t xml:space="preserve">Базы читателей</w:t>
            </w:r>
          </w:p>
        </w:tc>
        <w:tc>
          <w:tcPr/>
          <w:p>
            <w:pPr>
              <w:pStyle w:val="Compact"/>
            </w:pPr>
            <w:r>
              <w:t xml:space="preserve">Ограничение доступа к читательским данным и книговыдаче.</w:t>
            </w:r>
          </w:p>
        </w:tc>
      </w:tr>
      <w:tr>
        <w:tc>
          <w:tcPr/>
          <w:p>
            <w:pPr>
              <w:pStyle w:val="Compact"/>
            </w:pPr>
            <w:r>
              <w:t xml:space="preserve">Места выдачи</w:t>
            </w:r>
          </w:p>
        </w:tc>
        <w:tc>
          <w:tcPr/>
          <w:p>
            <w:pPr>
              <w:pStyle w:val="Compact"/>
            </w:pPr>
            <w:r>
              <w:t xml:space="preserve">Настройка профилей книговыдачи и прав сотрудников.</w:t>
            </w:r>
          </w:p>
        </w:tc>
      </w:tr>
      <w:tr>
        <w:tc>
          <w:tcPr/>
          <w:p>
            <w:pPr>
              <w:pStyle w:val="Compact"/>
            </w:pPr>
            <w:r>
              <w:t xml:space="preserve">Роли пользователей</w:t>
            </w:r>
          </w:p>
        </w:tc>
        <w:tc>
          <w:tcPr/>
          <w:p>
            <w:pPr>
              <w:pStyle w:val="Compact"/>
            </w:pPr>
            <w:r>
              <w:t xml:space="preserve">Группировка прав для администратора организации, администратора ИБ, каталогизаторов, сотрудников книговыдачи и других ролей.</w:t>
            </w:r>
          </w:p>
        </w:tc>
      </w:tr>
      <w:tr>
        <w:tc>
          <w:tcPr/>
          <w:p>
            <w:pPr>
              <w:pStyle w:val="Compact"/>
            </w:pPr>
            <w:r>
              <w:t xml:space="preserve">Доступ к статистике, МБА, ЭБ и СК</w:t>
            </w:r>
          </w:p>
        </w:tc>
        <w:tc>
          <w:tcPr/>
          <w:p>
            <w:pPr>
              <w:pStyle w:val="Compact"/>
            </w:pPr>
            <w:r>
              <w:t xml:space="preserve">Дополнительные права и настройки профильных модулей.</w:t>
            </w:r>
          </w:p>
        </w:tc>
      </w:tr>
    </w:tbl>
    <w:bookmarkEnd w:id="43"/>
    <w:bookmarkStart w:id="44" w:name="последовательность-настройки"/>
    <w:p>
      <w:pPr>
        <w:pStyle w:val="Heading3"/>
      </w:pPr>
      <w:r>
        <w:t xml:space="preserve">2. Последовательность настройки</w:t>
      </w:r>
    </w:p>
    <w:p>
      <w:pPr>
        <w:pStyle w:val="Compact"/>
        <w:numPr>
          <w:ilvl w:val="0"/>
          <w:numId w:val="1007"/>
        </w:numPr>
      </w:pPr>
      <w:r>
        <w:t xml:space="preserve">Авторизуйтесь под пользователем с административными правами.</w:t>
      </w:r>
    </w:p>
    <w:p>
      <w:pPr>
        <w:pStyle w:val="Compact"/>
        <w:numPr>
          <w:ilvl w:val="0"/>
          <w:numId w:val="1007"/>
        </w:numPr>
      </w:pPr>
      <w:r>
        <w:t xml:space="preserve">Создайте или проверьте БД, которые будут связаны с организацией: электронный каталог, БД читателей, служебные или профильные БД.</w:t>
      </w:r>
    </w:p>
    <w:p>
      <w:pPr>
        <w:pStyle w:val="Compact"/>
        <w:numPr>
          <w:ilvl w:val="0"/>
          <w:numId w:val="1007"/>
        </w:numPr>
      </w:pPr>
      <w:r>
        <w:t xml:space="preserve">Создайте запись организации в модуле</w:t>
      </w:r>
      <w:r>
        <w:t xml:space="preserve"> </w:t>
      </w:r>
      <w:r>
        <w:rPr>
          <w:rStyle w:val="VerbatimChar"/>
        </w:rPr>
        <w:t xml:space="preserve">Organisations</w:t>
      </w:r>
      <w:r>
        <w:t xml:space="preserve"> </w:t>
      </w:r>
      <w:r>
        <w:t xml:space="preserve">и заполните основные сведения.</w:t>
      </w:r>
    </w:p>
    <w:p>
      <w:pPr>
        <w:pStyle w:val="Compact"/>
        <w:numPr>
          <w:ilvl w:val="0"/>
          <w:numId w:val="1007"/>
        </w:numPr>
      </w:pPr>
      <w:r>
        <w:t xml:space="preserve">Свяжите с организацией нужные БД и настройки участия в сводном каталоге.</w:t>
      </w:r>
    </w:p>
    <w:p>
      <w:pPr>
        <w:pStyle w:val="Compact"/>
        <w:numPr>
          <w:ilvl w:val="0"/>
          <w:numId w:val="1007"/>
        </w:numPr>
      </w:pPr>
      <w:r>
        <w:t xml:space="preserve">Создайте или проверьте профили настроек модулей, которыми будет пользоваться организация.</w:t>
      </w:r>
    </w:p>
    <w:p>
      <w:pPr>
        <w:pStyle w:val="Compact"/>
        <w:numPr>
          <w:ilvl w:val="0"/>
          <w:numId w:val="1007"/>
        </w:numPr>
      </w:pPr>
      <w:r>
        <w:t xml:space="preserve">Создайте роли пользователей для типовых полномочий.</w:t>
      </w:r>
    </w:p>
    <w:p>
      <w:pPr>
        <w:pStyle w:val="Compact"/>
        <w:numPr>
          <w:ilvl w:val="0"/>
          <w:numId w:val="1007"/>
        </w:numPr>
      </w:pPr>
      <w:r>
        <w:t xml:space="preserve">Назначьте права ролям на модули, страницы, БД и объектные записи.</w:t>
      </w:r>
    </w:p>
    <w:p>
      <w:pPr>
        <w:pStyle w:val="Compact"/>
        <w:numPr>
          <w:ilvl w:val="0"/>
          <w:numId w:val="1007"/>
        </w:numPr>
      </w:pPr>
      <w:r>
        <w:t xml:space="preserve">Назначьте роли конкретным пользователям.</w:t>
      </w:r>
    </w:p>
    <w:p>
      <w:pPr>
        <w:pStyle w:val="Compact"/>
        <w:numPr>
          <w:ilvl w:val="0"/>
          <w:numId w:val="1007"/>
        </w:numPr>
      </w:pPr>
      <w:r>
        <w:t xml:space="preserve">Проверьте вход под пользователем организации и доступность только разрешённых операций.</w:t>
      </w:r>
    </w:p>
    <w:bookmarkEnd w:id="44"/>
    <w:bookmarkStart w:id="46" w:name="базы-данных-организации"/>
    <w:p>
      <w:pPr>
        <w:pStyle w:val="Heading3"/>
      </w:pPr>
      <w:r>
        <w:t xml:space="preserve">3. Базы данных организации</w:t>
      </w:r>
    </w:p>
    <w:p>
      <w:pPr>
        <w:pStyle w:val="FirstParagraph"/>
      </w:pPr>
      <w:r>
        <w:t xml:space="preserve">БД создаются и настраиваются через АРМ «Администратор». Для каждой БД проверьте:</w:t>
      </w:r>
    </w:p>
    <w:p>
      <w:pPr>
        <w:pStyle w:val="Compact"/>
        <w:numPr>
          <w:ilvl w:val="0"/>
          <w:numId w:val="1008"/>
        </w:numPr>
      </w:pPr>
      <w:r>
        <w:t xml:space="preserve">наименование и описание;</w:t>
      </w:r>
    </w:p>
    <w:p>
      <w:pPr>
        <w:pStyle w:val="Compact"/>
        <w:numPr>
          <w:ilvl w:val="0"/>
          <w:numId w:val="1008"/>
        </w:numPr>
      </w:pPr>
      <w:r>
        <w:t xml:space="preserve">признак «только чтение», если БД не должна изменяться пользователями организации;</w:t>
      </w:r>
    </w:p>
    <w:p>
      <w:pPr>
        <w:pStyle w:val="Compact"/>
        <w:numPr>
          <w:ilvl w:val="0"/>
          <w:numId w:val="1008"/>
        </w:numPr>
      </w:pPr>
      <w:r>
        <w:t xml:space="preserve">признак БД читателей, если база содержит пользовательские записи;</w:t>
      </w:r>
    </w:p>
    <w:p>
      <w:pPr>
        <w:pStyle w:val="Compact"/>
        <w:numPr>
          <w:ilvl w:val="0"/>
          <w:numId w:val="1008"/>
        </w:numPr>
      </w:pPr>
      <w:r>
        <w:t xml:space="preserve">параметры провайдера данных;</w:t>
      </w:r>
    </w:p>
    <w:p>
      <w:pPr>
        <w:pStyle w:val="Compact"/>
        <w:numPr>
          <w:ilvl w:val="0"/>
          <w:numId w:val="1008"/>
        </w:numPr>
      </w:pPr>
      <w:r>
        <w:t xml:space="preserve">участие в сводном каталоге или других подсистемах, если это требуется.</w:t>
      </w:r>
    </w:p>
    <w:p>
      <w:pPr>
        <w:pStyle w:val="FirstParagraph"/>
      </w:pPr>
      <w:r>
        <w:t xml:space="preserve">Подробное описание провайдеров и параметров БД см. в разделе</w:t>
      </w:r>
      <w:r>
        <w:t xml:space="preserve"> </w:t>
      </w:r>
      <w:hyperlink r:id="rId45">
        <w:r>
          <w:rPr>
            <w:rStyle w:val="Hyperlink"/>
          </w:rPr>
          <w:t xml:space="preserve">Базы данных и провайдеры данных</w:t>
        </w:r>
      </w:hyperlink>
      <w:r>
        <w:t xml:space="preserve">.</w:t>
      </w:r>
    </w:p>
    <w:bookmarkEnd w:id="46"/>
    <w:bookmarkStart w:id="48" w:name="карточка-организации"/>
    <w:p>
      <w:pPr>
        <w:pStyle w:val="Heading3"/>
      </w:pPr>
      <w:r>
        <w:t xml:space="preserve">4. Карточка организации</w:t>
      </w:r>
    </w:p>
    <w:p>
      <w:pPr>
        <w:pStyle w:val="FirstParagraph"/>
      </w:pPr>
      <w:r>
        <w:t xml:space="preserve">Запись организации ведётся в модуле</w:t>
      </w:r>
      <w:r>
        <w:t xml:space="preserve"> </w:t>
      </w:r>
      <w:r>
        <w:rPr>
          <w:rStyle w:val="VerbatimChar"/>
        </w:rPr>
        <w:t xml:space="preserve">Organisations</w:t>
      </w:r>
      <w:r>
        <w:t xml:space="preserve">. В карточке обычно заполняются:</w:t>
      </w:r>
    </w:p>
    <w:p>
      <w:pPr>
        <w:pStyle w:val="Compact"/>
        <w:numPr>
          <w:ilvl w:val="0"/>
          <w:numId w:val="1009"/>
        </w:numPr>
      </w:pPr>
      <w:r>
        <w:t xml:space="preserve">полное и краткое наименование;</w:t>
      </w:r>
    </w:p>
    <w:p>
      <w:pPr>
        <w:pStyle w:val="Compact"/>
        <w:numPr>
          <w:ilvl w:val="0"/>
          <w:numId w:val="1009"/>
        </w:numPr>
      </w:pPr>
      <w:r>
        <w:t xml:space="preserve">статус организации;</w:t>
      </w:r>
    </w:p>
    <w:p>
      <w:pPr>
        <w:pStyle w:val="Compact"/>
        <w:numPr>
          <w:ilvl w:val="0"/>
          <w:numId w:val="1009"/>
        </w:numPr>
      </w:pPr>
      <w:r>
        <w:t xml:space="preserve">собственный идентификатор, ИНН и внешние идентификаторы;</w:t>
      </w:r>
    </w:p>
    <w:p>
      <w:pPr>
        <w:pStyle w:val="Compact"/>
        <w:numPr>
          <w:ilvl w:val="0"/>
          <w:numId w:val="1009"/>
        </w:numPr>
      </w:pPr>
      <w:r>
        <w:t xml:space="preserve">почтовый адрес и контактные данные;</w:t>
      </w:r>
    </w:p>
    <w:p>
      <w:pPr>
        <w:pStyle w:val="Compact"/>
        <w:numPr>
          <w:ilvl w:val="0"/>
          <w:numId w:val="1009"/>
        </w:numPr>
      </w:pPr>
      <w:r>
        <w:t xml:space="preserve">организационно-правовая форма;</w:t>
      </w:r>
    </w:p>
    <w:p>
      <w:pPr>
        <w:pStyle w:val="Compact"/>
        <w:numPr>
          <w:ilvl w:val="0"/>
          <w:numId w:val="1009"/>
        </w:numPr>
      </w:pPr>
      <w:r>
        <w:t xml:space="preserve">руководитель и ответственные представители;</w:t>
      </w:r>
    </w:p>
    <w:p>
      <w:pPr>
        <w:pStyle w:val="Compact"/>
        <w:numPr>
          <w:ilvl w:val="0"/>
          <w:numId w:val="1009"/>
        </w:numPr>
      </w:pPr>
      <w:r>
        <w:t xml:space="preserve">связанные БД пользователей и электронного каталога;</w:t>
      </w:r>
    </w:p>
    <w:p>
      <w:pPr>
        <w:pStyle w:val="Compact"/>
        <w:numPr>
          <w:ilvl w:val="0"/>
          <w:numId w:val="1009"/>
        </w:numPr>
      </w:pPr>
      <w:r>
        <w:t xml:space="preserve">настройки участия в сводном каталоге;</w:t>
      </w:r>
    </w:p>
    <w:p>
      <w:pPr>
        <w:pStyle w:val="Compact"/>
        <w:numPr>
          <w:ilvl w:val="0"/>
          <w:numId w:val="1009"/>
        </w:numPr>
      </w:pPr>
      <w:r>
        <w:t xml:space="preserve">дополнительные сведения о слиянии, присоединении или составе организации.</w:t>
      </w:r>
    </w:p>
    <w:p>
      <w:pPr>
        <w:pStyle w:val="FirstParagraph"/>
      </w:pPr>
      <w:r>
        <w:t xml:space="preserve">Если организация участвует в сводном каталоге, порядок заполнения и привязки БД описан в разделе</w:t>
      </w:r>
      <w:r>
        <w:t xml:space="preserve"> </w:t>
      </w:r>
      <w:hyperlink r:id="rId47">
        <w:r>
          <w:rPr>
            <w:rStyle w:val="Hyperlink"/>
          </w:rPr>
          <w:t xml:space="preserve">Настройка организаций сводного каталога</w:t>
        </w:r>
      </w:hyperlink>
      <w:r>
        <w:t xml:space="preserve">.</w:t>
      </w:r>
    </w:p>
    <w:bookmarkEnd w:id="48"/>
    <w:bookmarkStart w:id="49" w:name="профили-настроек-модулей"/>
    <w:p>
      <w:pPr>
        <w:pStyle w:val="Heading3"/>
      </w:pPr>
      <w:r>
        <w:t xml:space="preserve">5. Профили настроек модулей</w:t>
      </w:r>
    </w:p>
    <w:p>
      <w:pPr>
        <w:pStyle w:val="FirstParagraph"/>
      </w:pPr>
      <w:r>
        <w:t xml:space="preserve">Профиль настроек определяет, как организация работает с конкретным модулем. В старой инструкции отдельно описывались профили для:</w:t>
      </w:r>
    </w:p>
    <w:p>
      <w:pPr>
        <w:pStyle w:val="Compact"/>
        <w:numPr>
          <w:ilvl w:val="0"/>
          <w:numId w:val="1010"/>
        </w:numPr>
      </w:pPr>
      <w:r>
        <w:t xml:space="preserve">АРМ «Каталогизатор»;</w:t>
      </w:r>
    </w:p>
    <w:p>
      <w:pPr>
        <w:pStyle w:val="Compact"/>
        <w:numPr>
          <w:ilvl w:val="0"/>
          <w:numId w:val="1010"/>
        </w:numPr>
      </w:pPr>
      <w:r>
        <w:t xml:space="preserve">АРМ «Книговыдача»;</w:t>
      </w:r>
    </w:p>
    <w:p>
      <w:pPr>
        <w:pStyle w:val="Compact"/>
        <w:numPr>
          <w:ilvl w:val="0"/>
          <w:numId w:val="1010"/>
        </w:numPr>
      </w:pPr>
      <w:r>
        <w:t xml:space="preserve">АРМ «Комплектатор»;</w:t>
      </w:r>
    </w:p>
    <w:p>
      <w:pPr>
        <w:pStyle w:val="Compact"/>
        <w:numPr>
          <w:ilvl w:val="0"/>
          <w:numId w:val="1010"/>
        </w:numPr>
      </w:pPr>
      <w:r>
        <w:t xml:space="preserve">модуля «Личный кабинет читателя».</w:t>
      </w:r>
    </w:p>
    <w:p>
      <w:pPr>
        <w:pStyle w:val="FirstParagraph"/>
      </w:pPr>
      <w:r>
        <w:t xml:space="preserve">В текущей справке не нужно дублировать все поля профилей на одной странице. При настройке используйте административные панели соответствующих модулей и проверяйте профиль по фактическим параметрам модуля. Если модуль поддерживает организационные ограничения, профиль должен ссылаться на созданную организацию, её БД и разрешённые места выдачи.</w:t>
      </w:r>
    </w:p>
    <w:bookmarkEnd w:id="49"/>
    <w:bookmarkStart w:id="51" w:name="роли-и-права"/>
    <w:p>
      <w:pPr>
        <w:pStyle w:val="Heading3"/>
      </w:pPr>
      <w:r>
        <w:t xml:space="preserve">6. Роли и права</w:t>
      </w:r>
    </w:p>
    <w:p>
      <w:pPr>
        <w:pStyle w:val="FirstParagraph"/>
      </w:pPr>
      <w:r>
        <w:t xml:space="preserve">Роли нужны, чтобы не назначать права каждому пользователю вручную. Для администратора организации обычно создают отдельную роль, в которую включают только те операции, которые организация должна выполнять самостоятельно.</w:t>
      </w:r>
    </w:p>
    <w:p>
      <w:pPr>
        <w:pStyle w:val="BodyText"/>
      </w:pPr>
      <w:r>
        <w:t xml:space="preserve">При назначении прав проверьте:</w:t>
      </w:r>
    </w:p>
    <w:p>
      <w:pPr>
        <w:pStyle w:val="Compact"/>
        <w:numPr>
          <w:ilvl w:val="0"/>
          <w:numId w:val="1011"/>
        </w:numPr>
      </w:pPr>
      <w:r>
        <w:t xml:space="preserve">доступ к АРМ и страницам, которые нужны роли;</w:t>
      </w:r>
    </w:p>
    <w:p>
      <w:pPr>
        <w:pStyle w:val="Compact"/>
        <w:numPr>
          <w:ilvl w:val="0"/>
          <w:numId w:val="1011"/>
        </w:numPr>
      </w:pPr>
      <w:r>
        <w:t xml:space="preserve">права</w:t>
      </w:r>
      <w:r>
        <w:t xml:space="preserve"> </w:t>
      </w:r>
      <w:r>
        <w:rPr>
          <w:rStyle w:val="VerbatimChar"/>
        </w:rPr>
        <w:t xml:space="preserve">VIEW</w:t>
      </w:r>
      <w:r>
        <w:t xml:space="preserve">,</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VIEWRIGHTS</w:t>
      </w:r>
      <w:r>
        <w:t xml:space="preserve">,</w:t>
      </w:r>
      <w:r>
        <w:t xml:space="preserve"> </w:t>
      </w:r>
      <w:r>
        <w:rPr>
          <w:rStyle w:val="VerbatimChar"/>
        </w:rPr>
        <w:t xml:space="preserve">EDITRIGHTS</w:t>
      </w:r>
      <w:r>
        <w:t xml:space="preserve">,</w:t>
      </w:r>
      <w:r>
        <w:t xml:space="preserve"> </w:t>
      </w:r>
      <w:r>
        <w:rPr>
          <w:rStyle w:val="VerbatimChar"/>
        </w:rPr>
        <w:t xml:space="preserve">ADDRIGHTS</w:t>
      </w:r>
      <w:r>
        <w:t xml:space="preserve">,</w:t>
      </w:r>
      <w:r>
        <w:t xml:space="preserve"> </w:t>
      </w:r>
      <w:r>
        <w:rPr>
          <w:rStyle w:val="VerbatimChar"/>
        </w:rPr>
        <w:t xml:space="preserve">DELETERIGHTS</w:t>
      </w:r>
      <w:r>
        <w:t xml:space="preserve"> </w:t>
      </w:r>
      <w:r>
        <w:t xml:space="preserve">только там, где они действительно требуются;</w:t>
      </w:r>
    </w:p>
    <w:p>
      <w:pPr>
        <w:pStyle w:val="Compact"/>
        <w:numPr>
          <w:ilvl w:val="0"/>
          <w:numId w:val="1011"/>
        </w:numPr>
      </w:pPr>
      <w:r>
        <w:t xml:space="preserve">права на связанные БД и объектные записи;</w:t>
      </w:r>
    </w:p>
    <w:p>
      <w:pPr>
        <w:pStyle w:val="Compact"/>
        <w:numPr>
          <w:ilvl w:val="0"/>
          <w:numId w:val="1011"/>
        </w:numPr>
      </w:pPr>
      <w:r>
        <w:t xml:space="preserve">наследование прав для дочерних объектов;</w:t>
      </w:r>
    </w:p>
    <w:p>
      <w:pPr>
        <w:pStyle w:val="Compact"/>
        <w:numPr>
          <w:ilvl w:val="0"/>
          <w:numId w:val="1011"/>
        </w:numPr>
      </w:pPr>
      <w:r>
        <w:t xml:space="preserve">отсутствие широких административных прав у обычных сотрудников.</w:t>
      </w:r>
    </w:p>
    <w:p>
      <w:pPr>
        <w:pStyle w:val="FirstParagraph"/>
      </w:pPr>
      <w:r>
        <w:t xml:space="preserve">Текущая модель прав, субъекты безопасности и проверка результата описаны в разделе</w:t>
      </w:r>
      <w:r>
        <w:t xml:space="preserve"> </w:t>
      </w:r>
      <w:hyperlink r:id="rId50">
        <w:r>
          <w:rPr>
            <w:rStyle w:val="Hyperlink"/>
          </w:rPr>
          <w:t xml:space="preserve">Управление правами доступа</w:t>
        </w:r>
      </w:hyperlink>
      <w:r>
        <w:t xml:space="preserve">.</w:t>
      </w:r>
    </w:p>
    <w:bookmarkEnd w:id="51"/>
    <w:bookmarkStart w:id="52" w:name="назначение-роли-пользователю"/>
    <w:p>
      <w:pPr>
        <w:pStyle w:val="Heading3"/>
      </w:pPr>
      <w:r>
        <w:t xml:space="preserve">7. Назначение роли пользователю</w:t>
      </w:r>
    </w:p>
    <w:p>
      <w:pPr>
        <w:pStyle w:val="FirstParagraph"/>
      </w:pPr>
      <w:r>
        <w:t xml:space="preserve">После создания роли откройте управление пользователями и назначьте роль конкретной учётной записи. Для администратора организации проверьте, что:</w:t>
      </w:r>
    </w:p>
    <w:p>
      <w:pPr>
        <w:pStyle w:val="Compact"/>
        <w:numPr>
          <w:ilvl w:val="0"/>
          <w:numId w:val="1012"/>
        </w:numPr>
      </w:pPr>
      <w:r>
        <w:t xml:space="preserve">пользователь может войти в систему;</w:t>
      </w:r>
    </w:p>
    <w:p>
      <w:pPr>
        <w:pStyle w:val="Compact"/>
        <w:numPr>
          <w:ilvl w:val="0"/>
          <w:numId w:val="1012"/>
        </w:numPr>
      </w:pPr>
      <w:r>
        <w:t xml:space="preserve">пользователь видит нужные модули и организации;</w:t>
      </w:r>
    </w:p>
    <w:p>
      <w:pPr>
        <w:pStyle w:val="Compact"/>
        <w:numPr>
          <w:ilvl w:val="0"/>
          <w:numId w:val="1012"/>
        </w:numPr>
      </w:pPr>
      <w:r>
        <w:t xml:space="preserve">пользователь может выполнять разрешённые административные действия;</w:t>
      </w:r>
    </w:p>
    <w:p>
      <w:pPr>
        <w:pStyle w:val="Compact"/>
        <w:numPr>
          <w:ilvl w:val="0"/>
          <w:numId w:val="1012"/>
        </w:numPr>
      </w:pPr>
      <w:r>
        <w:t xml:space="preserve">пользователь не видит чужие организации, БД и операции, которые не входят в его полномочия;</w:t>
      </w:r>
    </w:p>
    <w:p>
      <w:pPr>
        <w:pStyle w:val="Compact"/>
        <w:numPr>
          <w:ilvl w:val="0"/>
          <w:numId w:val="1012"/>
        </w:numPr>
      </w:pPr>
      <w:r>
        <w:t xml:space="preserve">права применяются к новым дочерним объектам после обновления наследования.</w:t>
      </w:r>
    </w:p>
    <w:bookmarkEnd w:id="52"/>
    <w:bookmarkStart w:id="53" w:name="контроль-результата"/>
    <w:p>
      <w:pPr>
        <w:pStyle w:val="Heading3"/>
      </w:pPr>
      <w:r>
        <w:t xml:space="preserve">8. Контроль результата</w:t>
      </w:r>
    </w:p>
    <w:p>
      <w:pPr>
        <w:pStyle w:val="FirstParagraph"/>
      </w:pPr>
      <w:r>
        <w:t xml:space="preserve">Проверку выполняйте отдельной тестовой учётной записью с назначенной ролью организации. Минимальный контрольный набор:</w:t>
      </w:r>
    </w:p>
    <w:p>
      <w:pPr>
        <w:pStyle w:val="Compact"/>
        <w:numPr>
          <w:ilvl w:val="0"/>
          <w:numId w:val="1013"/>
        </w:numPr>
      </w:pPr>
      <w:r>
        <w:t xml:space="preserve">Вход в систему под пользователем организации.</w:t>
      </w:r>
    </w:p>
    <w:p>
      <w:pPr>
        <w:pStyle w:val="Compact"/>
        <w:numPr>
          <w:ilvl w:val="0"/>
          <w:numId w:val="1013"/>
        </w:numPr>
      </w:pPr>
      <w:r>
        <w:t xml:space="preserve">Открытие разрешённых модулей.</w:t>
      </w:r>
    </w:p>
    <w:p>
      <w:pPr>
        <w:pStyle w:val="Compact"/>
        <w:numPr>
          <w:ilvl w:val="0"/>
          <w:numId w:val="1013"/>
        </w:numPr>
      </w:pPr>
      <w:r>
        <w:t xml:space="preserve">Просмотр и редактирование только разрешённых БД и организаций.</w:t>
      </w:r>
    </w:p>
    <w:p>
      <w:pPr>
        <w:pStyle w:val="Compact"/>
        <w:numPr>
          <w:ilvl w:val="0"/>
          <w:numId w:val="1013"/>
        </w:numPr>
      </w:pPr>
      <w:r>
        <w:t xml:space="preserve">Отсутствие доступа к системным настройкам, если они не входят в роль.</w:t>
      </w:r>
    </w:p>
    <w:p>
      <w:pPr>
        <w:pStyle w:val="Compact"/>
        <w:numPr>
          <w:ilvl w:val="0"/>
          <w:numId w:val="1013"/>
        </w:numPr>
      </w:pPr>
      <w:r>
        <w:t xml:space="preserve">Выполнение профильного сценария: каталогизация, книговыдача, комплектование, работа с личным кабинетом или сводным каталогом.</w:t>
      </w:r>
    </w:p>
    <w:bookmarkEnd w:id="53"/>
    <w:bookmarkEnd w:id="54"/>
    <w:bookmarkStart w:id="68" w:name="очистка-папки-objects"/>
    <w:p>
      <w:pPr>
        <w:pStyle w:val="Heading2"/>
      </w:pPr>
      <w:r>
        <w:t xml:space="preserve">Очистка папки OBJECTS</w:t>
      </w:r>
    </w:p>
    <w:p>
      <w:pPr>
        <w:pStyle w:val="FirstParagraph"/>
      </w:pPr>
      <w:r>
        <w:t xml:space="preserve">Страница</w:t>
      </w:r>
      <w:r>
        <w:t xml:space="preserve"> </w:t>
      </w:r>
      <w:r>
        <w:rPr>
          <w:rStyle w:val="VerbatimChar"/>
        </w:rPr>
        <w:t xml:space="preserve">Admin/ClearObjectDataFolder</w:t>
      </w:r>
      <w:r>
        <w:t xml:space="preserve"> </w:t>
      </w:r>
      <w:r>
        <w:t xml:space="preserve">предназначена для рекурсивной очистки папки</w:t>
      </w:r>
      <w:r>
        <w:t xml:space="preserve"> </w:t>
      </w:r>
      <w:r>
        <w:rPr>
          <w:rStyle w:val="VerbatimChar"/>
        </w:rPr>
        <w:t xml:space="preserve">OBJECTS</w:t>
      </w:r>
      <w:r>
        <w:t xml:space="preserve"> </w:t>
      </w:r>
      <w:r>
        <w:t xml:space="preserve">от служебных и временных файлов. Инструмент запускает фоновую задачу, сохраняет статистику очистки и позволяет управлять резервными копиями удаленных файлов.</w:t>
      </w:r>
    </w:p>
    <w:p>
      <w:pPr>
        <w:pStyle w:val="BodyText"/>
      </w:pPr>
      <w:r>
        <w:t xml:space="preserve">Доступ к странице имеют пользователи с правом просмотра АРМа «Администратор».</w:t>
      </w:r>
    </w:p>
    <w:bookmarkStart w:id="58" w:name="запуск-очистки"/>
    <w:p>
      <w:pPr>
        <w:pStyle w:val="Heading3"/>
      </w:pPr>
      <w:r>
        <w:t xml:space="preserve">1. Запуск очистки</w:t>
      </w:r>
    </w:p>
    <w:p>
      <w:pPr>
        <w:pStyle w:val="FirstParagraph"/>
      </w:pPr>
      <w:r>
        <w:t xml:space="preserve">В форме запуска укажите имена файлов или маски, которые нужно удалить. Каждое имя или маску вводите с новой строки, например:</w:t>
      </w:r>
    </w:p>
    <w:p>
      <w:pPr>
        <w:pStyle w:val="SourceCode"/>
      </w:pPr>
      <w:r>
        <w:rPr>
          <w:rStyle w:val="VerbatimChar"/>
        </w:rPr>
        <w:t xml:space="preserve">thumbs.db</w:t>
      </w:r>
      <w:r>
        <w:br/>
      </w:r>
      <w:r>
        <w:rPr>
          <w:rStyle w:val="VerbatimChar"/>
        </w:rPr>
        <w:t xml:space="preserve">.DS_Store</w:t>
      </w:r>
      <w:r>
        <w:br/>
      </w:r>
      <w:r>
        <w:rPr>
          <w:rStyle w:val="VerbatimChar"/>
        </w:rPr>
        <w:t xml:space="preserve">*.tmp</w:t>
      </w:r>
    </w:p>
    <w:p>
      <w:pPr>
        <w:pStyle w:val="FirstParagraph"/>
      </w:pPr>
      <w:r>
        <w:t xml:space="preserve">После нажатия кнопки</w:t>
      </w:r>
      <w:r>
        <w:t xml:space="preserve"> </w:t>
      </w:r>
      <w:r>
        <w:rPr>
          <w:b/>
          <w:bCs/>
        </w:rPr>
        <w:t xml:space="preserve">Запустить очистку</w:t>
      </w:r>
      <w:r>
        <w:t xml:space="preserve"> </w:t>
      </w:r>
      <w:r>
        <w:t xml:space="preserve">система добавляет задачу в очередь. Очистка выполняется внутри папки</w:t>
      </w:r>
      <w:r>
        <w:t xml:space="preserve"> </w:t>
      </w:r>
      <w:r>
        <w:rPr>
          <w:rStyle w:val="VerbatimChar"/>
        </w:rPr>
        <w:t xml:space="preserve">OBJECTS</w:t>
      </w:r>
      <w:r>
        <w:t xml:space="preserve"> </w:t>
      </w:r>
      <w:r>
        <w:t xml:space="preserve">и ее вложенных каталогов. Найденные файлы копируются в резервную папку задания с сохранением относительной структуры, затем удаляются из исходных каталогов. Пустые каталоги, оставшиеся после удаления файлов, удаляются до корня</w:t>
      </w:r>
      <w:r>
        <w:t xml:space="preserve"> </w:t>
      </w:r>
      <w:r>
        <w:rPr>
          <w:rStyle w:val="VerbatimChar"/>
        </w:rPr>
        <w:t xml:space="preserve">OBJECTS</w:t>
      </w:r>
      <w:r>
        <w:t xml:space="preserve">.</w:t>
      </w:r>
    </w:p>
    <w:p>
      <w:pPr>
        <w:pStyle w:val="CaptionedFigure"/>
      </w:pPr>
      <w:r>
        <w:drawing>
          <wp:inline>
            <wp:extent cx="5334000" cy="1209773"/>
            <wp:effectExtent b="0" l="0" r="0" t="0"/>
            <wp:docPr descr="Рисунок 1 - Форма запуска очистки папки OBJECTS" title="Форма запуска очистки папки OBJECTS" id="56" name="Picture"/>
            <a:graphic>
              <a:graphicData uri="http://schemas.openxmlformats.org/drawingml/2006/picture">
                <pic:pic>
                  <pic:nvPicPr>
                    <pic:cNvPr descr="modules/Admin/Help/img/clear-object-data-folder-launch.png" id="57" name="Picture"/>
                    <pic:cNvPicPr>
                      <a:picLocks noChangeArrowheads="1" noChangeAspect="1"/>
                    </pic:cNvPicPr>
                  </pic:nvPicPr>
                  <pic:blipFill>
                    <a:blip r:embed="rId55"/>
                    <a:stretch>
                      <a:fillRect/>
                    </a:stretch>
                  </pic:blipFill>
                  <pic:spPr bwMode="auto">
                    <a:xfrm>
                      <a:off x="0" y="0"/>
                      <a:ext cx="5334000" cy="1209773"/>
                    </a:xfrm>
                    <a:prstGeom prst="rect">
                      <a:avLst/>
                    </a:prstGeom>
                    <a:noFill/>
                    <a:ln w="9525">
                      <a:noFill/>
                      <a:headEnd/>
                      <a:tailEnd/>
                    </a:ln>
                  </pic:spPr>
                </pic:pic>
              </a:graphicData>
            </a:graphic>
          </wp:inline>
        </w:drawing>
      </w:r>
    </w:p>
    <w:p>
      <w:pPr>
        <w:pStyle w:val="ImageCaption"/>
      </w:pPr>
      <w:r>
        <w:t xml:space="preserve">Рисунок 1 - Форма запуска очистки папки OBJECTS</w:t>
      </w:r>
    </w:p>
    <w:p>
      <w:pPr>
        <w:pStyle w:val="BodyText"/>
      </w:pPr>
      <w:r>
        <w:t xml:space="preserve">Кнопка</w:t>
      </w:r>
      <w:r>
        <w:t xml:space="preserve"> </w:t>
      </w:r>
      <w:r>
        <w:rPr>
          <w:b/>
          <w:bCs/>
        </w:rPr>
        <w:t xml:space="preserve">Перейти к очереди задач</w:t>
      </w:r>
      <w:r>
        <w:t xml:space="preserve"> </w:t>
      </w:r>
      <w:r>
        <w:t xml:space="preserve">открывает список фоновых заданий, где можно отслеживать выполнение очистки.</w:t>
      </w:r>
    </w:p>
    <w:bookmarkEnd w:id="58"/>
    <w:bookmarkStart w:id="62" w:name="отчеты-и-резервные-копии"/>
    <w:p>
      <w:pPr>
        <w:pStyle w:val="Heading3"/>
      </w:pPr>
      <w:r>
        <w:t xml:space="preserve">2. Отчеты и резервные копии</w:t>
      </w:r>
    </w:p>
    <w:p>
      <w:pPr>
        <w:pStyle w:val="FirstParagraph"/>
      </w:pPr>
      <w:r>
        <w:t xml:space="preserve">Ниже формы запуска отображается список сохраненных отчетов. Для каждого задания показаны идентификатор, статус, дата формирования, размер файла статистики и состояние резервной копии.</w:t>
      </w:r>
    </w:p>
    <w:p>
      <w:pPr>
        <w:pStyle w:val="CaptionedFigure"/>
      </w:pPr>
      <w:r>
        <w:drawing>
          <wp:inline>
            <wp:extent cx="5334000" cy="2050699"/>
            <wp:effectExtent b="0" l="0" r="0" t="0"/>
            <wp:docPr descr="Рисунок 2 - Список отчетов и резервных копий очистки" title="Список отчетов и резервных копий очистки" id="60" name="Picture"/>
            <a:graphic>
              <a:graphicData uri="http://schemas.openxmlformats.org/drawingml/2006/picture">
                <pic:pic>
                  <pic:nvPicPr>
                    <pic:cNvPr descr="modules/Admin/Help/img/clear-object-data-folder-reports.png" id="61" name="Picture"/>
                    <pic:cNvPicPr>
                      <a:picLocks noChangeArrowheads="1" noChangeAspect="1"/>
                    </pic:cNvPicPr>
                  </pic:nvPicPr>
                  <pic:blipFill>
                    <a:blip r:embed="rId59"/>
                    <a:stretch>
                      <a:fillRect/>
                    </a:stretch>
                  </pic:blipFill>
                  <pic:spPr bwMode="auto">
                    <a:xfrm>
                      <a:off x="0" y="0"/>
                      <a:ext cx="5334000" cy="2050699"/>
                    </a:xfrm>
                    <a:prstGeom prst="rect">
                      <a:avLst/>
                    </a:prstGeom>
                    <a:noFill/>
                    <a:ln w="9525">
                      <a:noFill/>
                      <a:headEnd/>
                      <a:tailEnd/>
                    </a:ln>
                  </pic:spPr>
                </pic:pic>
              </a:graphicData>
            </a:graphic>
          </wp:inline>
        </w:drawing>
      </w:r>
    </w:p>
    <w:p>
      <w:pPr>
        <w:pStyle w:val="ImageCaption"/>
      </w:pPr>
      <w:r>
        <w:t xml:space="preserve">Рисунок 2 - Список отчетов и резервных копий очистки</w:t>
      </w:r>
    </w:p>
    <w:p>
      <w:pPr>
        <w:pStyle w:val="BodyText"/>
      </w:pPr>
      <w:r>
        <w:t xml:space="preserve">Из списка отчетов можно:</w:t>
      </w:r>
    </w:p>
    <w:p>
      <w:pPr>
        <w:pStyle w:val="Compact"/>
        <w:numPr>
          <w:ilvl w:val="0"/>
          <w:numId w:val="1014"/>
        </w:numPr>
      </w:pPr>
      <w:r>
        <w:t xml:space="preserve">открыть страницу статистики задания;</w:t>
      </w:r>
    </w:p>
    <w:p>
      <w:pPr>
        <w:pStyle w:val="Compact"/>
        <w:numPr>
          <w:ilvl w:val="0"/>
          <w:numId w:val="1014"/>
        </w:numPr>
      </w:pPr>
      <w:r>
        <w:t xml:space="preserve">скачать выбранные отчеты;</w:t>
      </w:r>
    </w:p>
    <w:p>
      <w:pPr>
        <w:pStyle w:val="Compact"/>
        <w:numPr>
          <w:ilvl w:val="0"/>
          <w:numId w:val="1014"/>
        </w:numPr>
      </w:pPr>
      <w:r>
        <w:t xml:space="preserve">восстановить файлы из резервной копии;</w:t>
      </w:r>
    </w:p>
    <w:p>
      <w:pPr>
        <w:pStyle w:val="Compact"/>
        <w:numPr>
          <w:ilvl w:val="0"/>
          <w:numId w:val="1014"/>
        </w:numPr>
      </w:pPr>
      <w:r>
        <w:t xml:space="preserve">заархивировать резервную копию в ZIP;</w:t>
      </w:r>
    </w:p>
    <w:p>
      <w:pPr>
        <w:pStyle w:val="Compact"/>
        <w:numPr>
          <w:ilvl w:val="0"/>
          <w:numId w:val="1014"/>
        </w:numPr>
      </w:pPr>
      <w:r>
        <w:t xml:space="preserve">удалить выбранные отчеты и связанные резервные копии.</w:t>
      </w:r>
    </w:p>
    <w:p>
      <w:pPr>
        <w:pStyle w:val="FirstParagraph"/>
      </w:pPr>
      <w:r>
        <w:t xml:space="preserve">Операции восстановления и архивирования выполняются через очередь задач. Если выбрано несколько отчетов для скачивания, система формирует общий ZIP-архив.</w:t>
      </w:r>
    </w:p>
    <w:bookmarkEnd w:id="62"/>
    <w:bookmarkStart w:id="66" w:name="статистика-задания"/>
    <w:p>
      <w:pPr>
        <w:pStyle w:val="Heading3"/>
      </w:pPr>
      <w:r>
        <w:t xml:space="preserve">3. Статистика задания</w:t>
      </w:r>
    </w:p>
    <w:p>
      <w:pPr>
        <w:pStyle w:val="FirstParagraph"/>
      </w:pPr>
      <w:r>
        <w:t xml:space="preserve">Страница статистики показывает текущее состояние задания, список целевых файлов, общие итоги проверки и удаления, а также сводку по именам найденных файлов.</w:t>
      </w:r>
    </w:p>
    <w:p>
      <w:pPr>
        <w:pStyle w:val="CaptionedFigure"/>
      </w:pPr>
      <w:r>
        <w:drawing>
          <wp:inline>
            <wp:extent cx="5334000" cy="4172138"/>
            <wp:effectExtent b="0" l="0" r="0" t="0"/>
            <wp:docPr descr="Рисунок 3 - Статистика очистки и повторная очистка выбранных файлов" title="Статистика очистки и повторная очистка выбранных файлов" id="64" name="Picture"/>
            <a:graphic>
              <a:graphicData uri="http://schemas.openxmlformats.org/drawingml/2006/picture">
                <pic:pic>
                  <pic:nvPicPr>
                    <pic:cNvPr descr="modules/Admin/Help/img/clear-object-data-folder-stats.png" id="65" name="Picture"/>
                    <pic:cNvPicPr>
                      <a:picLocks noChangeArrowheads="1" noChangeAspect="1"/>
                    </pic:cNvPicPr>
                  </pic:nvPicPr>
                  <pic:blipFill>
                    <a:blip r:embed="rId63"/>
                    <a:stretch>
                      <a:fillRect/>
                    </a:stretch>
                  </pic:blipFill>
                  <pic:spPr bwMode="auto">
                    <a:xfrm>
                      <a:off x="0" y="0"/>
                      <a:ext cx="5334000" cy="4172138"/>
                    </a:xfrm>
                    <a:prstGeom prst="rect">
                      <a:avLst/>
                    </a:prstGeom>
                    <a:noFill/>
                    <a:ln w="9525">
                      <a:noFill/>
                      <a:headEnd/>
                      <a:tailEnd/>
                    </a:ln>
                  </pic:spPr>
                </pic:pic>
              </a:graphicData>
            </a:graphic>
          </wp:inline>
        </w:drawing>
      </w:r>
    </w:p>
    <w:p>
      <w:pPr>
        <w:pStyle w:val="ImageCaption"/>
      </w:pPr>
      <w:r>
        <w:t xml:space="preserve">Рисунок 3 - Статистика очистки и повторная очистка выбранных файлов</w:t>
      </w:r>
    </w:p>
    <w:p>
      <w:pPr>
        <w:pStyle w:val="BodyText"/>
      </w:pPr>
      <w:r>
        <w:t xml:space="preserve">На странице статистики доступны скачивание отчета в форматах JSON и CSV, восстановление удаленных файлов из резервной копии, архивирование резервной копии и повторный запуск очистки для выбранных имен файлов.</w:t>
      </w:r>
    </w:p>
    <w:bookmarkEnd w:id="66"/>
    <w:bookmarkStart w:id="67" w:name="ограничения-и-безопасность"/>
    <w:p>
      <w:pPr>
        <w:pStyle w:val="Heading3"/>
      </w:pPr>
      <w:r>
        <w:t xml:space="preserve">4. Ограничения и безопасность</w:t>
      </w:r>
    </w:p>
    <w:p>
      <w:pPr>
        <w:pStyle w:val="FirstParagraph"/>
      </w:pPr>
      <w:r>
        <w:t xml:space="preserve">Очистка выполняется только в пределах папки</w:t>
      </w:r>
      <w:r>
        <w:t xml:space="preserve"> </w:t>
      </w:r>
      <w:r>
        <w:rPr>
          <w:rStyle w:val="VerbatimChar"/>
        </w:rPr>
        <w:t xml:space="preserve">OBJECTS</w:t>
      </w:r>
      <w:r>
        <w:t xml:space="preserve">. Маски применяются к именам файлов, а не к полным путям. Резервная копия сохраняет удаленные файлы, но не создает пустые каталоги. При восстановлении файлы возвращаются в исходные относительные пути внутри</w:t>
      </w:r>
      <w:r>
        <w:t xml:space="preserve"> </w:t>
      </w:r>
      <w:r>
        <w:rPr>
          <w:rStyle w:val="VerbatimChar"/>
        </w:rPr>
        <w:t xml:space="preserve">OBJECTS</w:t>
      </w:r>
      <w:r>
        <w:t xml:space="preserve">.</w:t>
      </w:r>
    </w:p>
    <w:bookmarkEnd w:id="67"/>
    <w:bookmarkEnd w:id="68"/>
    <w:bookmarkStart w:id="76" w:name="состояние-кеширования-1"/>
    <w:p>
      <w:pPr>
        <w:pStyle w:val="Heading2"/>
      </w:pPr>
      <w:r>
        <w:t xml:space="preserve">Состояние кеширования</w:t>
      </w:r>
    </w:p>
    <w:p>
      <w:pPr>
        <w:pStyle w:val="FirstParagraph"/>
      </w:pPr>
      <w:r>
        <w:t xml:space="preserve">Страница</w:t>
      </w:r>
      <w:r>
        <w:t xml:space="preserve"> </w:t>
      </w:r>
      <w:r>
        <w:rPr>
          <w:rStyle w:val="VerbatimChar"/>
        </w:rPr>
        <w:t xml:space="preserve">Admin/ShowCacheState</w:t>
      </w:r>
      <w:r>
        <w:t xml:space="preserve"> </w:t>
      </w:r>
      <w:r>
        <w:t xml:space="preserve">показывает текущее состояние подсистемы кеширования ИРБИС 128 и помогает администратору оценить, какой уровень кеша используется системой.</w:t>
      </w:r>
    </w:p>
    <w:p>
      <w:pPr>
        <w:pStyle w:val="BodyText"/>
      </w:pPr>
      <w:r>
        <w:t xml:space="preserve">Доступ к странице имеют пользователи с правом просмотра АРМа «Администратор».</w:t>
      </w:r>
    </w:p>
    <w:p>
      <w:pPr>
        <w:pStyle w:val="CaptionedFigure"/>
      </w:pPr>
      <w:r>
        <w:drawing>
          <wp:inline>
            <wp:extent cx="5334000" cy="5160720"/>
            <wp:effectExtent b="0" l="0" r="0" t="0"/>
            <wp:docPr descr="Рисунок 1 - Состояние подсистемы кеширования" title="Состояние подсистемы кеширования" id="70" name="Picture"/>
            <a:graphic>
              <a:graphicData uri="http://schemas.openxmlformats.org/drawingml/2006/picture">
                <pic:pic>
                  <pic:nvPicPr>
                    <pic:cNvPr descr="modules/Admin/Help/img/cache-state.png" id="71" name="Picture"/>
                    <pic:cNvPicPr>
                      <a:picLocks noChangeArrowheads="1" noChangeAspect="1"/>
                    </pic:cNvPicPr>
                  </pic:nvPicPr>
                  <pic:blipFill>
                    <a:blip r:embed="rId69"/>
                    <a:stretch>
                      <a:fillRect/>
                    </a:stretch>
                  </pic:blipFill>
                  <pic:spPr bwMode="auto">
                    <a:xfrm>
                      <a:off x="0" y="0"/>
                      <a:ext cx="5334000" cy="5160720"/>
                    </a:xfrm>
                    <a:prstGeom prst="rect">
                      <a:avLst/>
                    </a:prstGeom>
                    <a:noFill/>
                    <a:ln w="9525">
                      <a:noFill/>
                      <a:headEnd/>
                      <a:tailEnd/>
                    </a:ln>
                  </pic:spPr>
                </pic:pic>
              </a:graphicData>
            </a:graphic>
          </wp:inline>
        </w:drawing>
      </w:r>
    </w:p>
    <w:p>
      <w:pPr>
        <w:pStyle w:val="ImageCaption"/>
      </w:pPr>
      <w:r>
        <w:t xml:space="preserve">Рисунок 1 - Состояние подсистемы кеширования</w:t>
      </w:r>
    </w:p>
    <w:bookmarkStart w:id="72" w:name="режим-работы-1"/>
    <w:p>
      <w:pPr>
        <w:pStyle w:val="Heading3"/>
      </w:pPr>
      <w:r>
        <w:t xml:space="preserve">1. Режим работы</w:t>
      </w:r>
    </w:p>
    <w:p>
      <w:pPr>
        <w:pStyle w:val="FirstParagraph"/>
      </w:pPr>
      <w:r>
        <w:t xml:space="preserve">В верхней части страницы отображается текущий режим кеширования:</w:t>
      </w:r>
    </w:p>
    <w:p>
      <w:pPr>
        <w:pStyle w:val="Compact"/>
        <w:numPr>
          <w:ilvl w:val="0"/>
          <w:numId w:val="1015"/>
        </w:numPr>
      </w:pPr>
      <w:r>
        <w:rPr>
          <w:rStyle w:val="VerbatimChar"/>
        </w:rPr>
        <w:t xml:space="preserve">APCU Активен (Shared Memory)</w:t>
      </w:r>
      <w:r>
        <w:t xml:space="preserve"> </w:t>
      </w:r>
      <w:r>
        <w:t xml:space="preserve">- данные второго уровня хранятся в общей памяти PHP и доступны между запросами до истечения TTL, перезапуска веб-сервера или очистки кеша.</w:t>
      </w:r>
    </w:p>
    <w:p>
      <w:pPr>
        <w:pStyle w:val="Compact"/>
        <w:numPr>
          <w:ilvl w:val="0"/>
          <w:numId w:val="1015"/>
        </w:numPr>
      </w:pPr>
      <w:r>
        <w:rPr>
          <w:rStyle w:val="VerbatimChar"/>
        </w:rPr>
        <w:t xml:space="preserve">SQLite Fallback Активен (Disk)</w:t>
      </w:r>
      <w:r>
        <w:t xml:space="preserve"> </w:t>
      </w:r>
      <w:r>
        <w:t xml:space="preserve">- APCu недоступен, поэтому персистентный слой хранится в SQLite-файле</w:t>
      </w:r>
      <w:r>
        <w:t xml:space="preserve"> </w:t>
      </w:r>
      <w:r>
        <w:rPr>
          <w:rStyle w:val="VerbatimChar"/>
        </w:rPr>
        <w:t xml:space="preserve">Cache.db</w:t>
      </w:r>
      <w:r>
        <w:t xml:space="preserve"> </w:t>
      </w:r>
      <w:r>
        <w:t xml:space="preserve">в каталоге данных.</w:t>
      </w:r>
    </w:p>
    <w:p>
      <w:pPr>
        <w:pStyle w:val="Compact"/>
        <w:numPr>
          <w:ilvl w:val="0"/>
          <w:numId w:val="1015"/>
        </w:numPr>
      </w:pPr>
      <w:r>
        <w:rPr>
          <w:rStyle w:val="VerbatimChar"/>
        </w:rPr>
        <w:t xml:space="preserve">Array Mode (Local Process Only)</w:t>
      </w:r>
      <w:r>
        <w:t xml:space="preserve"> </w:t>
      </w:r>
      <w:r>
        <w:t xml:space="preserve">- персистентное хранилище недоступно, работает только локальный кеш текущего PHP-процесса.</w:t>
      </w:r>
    </w:p>
    <w:bookmarkEnd w:id="72"/>
    <w:bookmarkStart w:id="73" w:name="показатели-l1-и-l2"/>
    <w:p>
      <w:pPr>
        <w:pStyle w:val="Heading3"/>
      </w:pPr>
      <w:r>
        <w:t xml:space="preserve">2. Показатели L1 и L2</w:t>
      </w:r>
    </w:p>
    <w:p>
      <w:pPr>
        <w:pStyle w:val="FirstParagraph"/>
      </w:pPr>
      <w:r>
        <w:t xml:space="preserve">Блок</w:t>
      </w:r>
      <w:r>
        <w:t xml:space="preserve"> </w:t>
      </w:r>
      <w:r>
        <w:rPr>
          <w:rStyle w:val="VerbatimChar"/>
        </w:rPr>
        <w:t xml:space="preserve">Уровень L1 (Static Array)</w:t>
      </w:r>
      <w:r>
        <w:t xml:space="preserve"> </w:t>
      </w:r>
      <w:r>
        <w:t xml:space="preserve">показывает количество объектов, находящихся в памяти текущего процесса. Этот уровень используется для самых быстрых повторных чтений внутри одного запроса или фонового процесса.</w:t>
      </w:r>
    </w:p>
    <w:p>
      <w:pPr>
        <w:pStyle w:val="BodyText"/>
      </w:pPr>
      <w:r>
        <w:t xml:space="preserve">Блок</w:t>
      </w:r>
      <w:r>
        <w:t xml:space="preserve"> </w:t>
      </w:r>
      <w:r>
        <w:rPr>
          <w:rStyle w:val="VerbatimChar"/>
        </w:rPr>
        <w:t xml:space="preserve">Уровень L2</w:t>
      </w:r>
      <w:r>
        <w:t xml:space="preserve"> </w:t>
      </w:r>
      <w:r>
        <w:t xml:space="preserve">зависит от активного хранилища:</w:t>
      </w:r>
    </w:p>
    <w:p>
      <w:pPr>
        <w:pStyle w:val="Compact"/>
        <w:numPr>
          <w:ilvl w:val="0"/>
          <w:numId w:val="1016"/>
        </w:numPr>
      </w:pPr>
      <w:r>
        <w:t xml:space="preserve">для APCu отображаются количество записей, использование памяти, хиты, промахи, эффективность попаданий, количество вставок и время запуска APCu;</w:t>
      </w:r>
    </w:p>
    <w:p>
      <w:pPr>
        <w:pStyle w:val="Compact"/>
        <w:numPr>
          <w:ilvl w:val="0"/>
          <w:numId w:val="1016"/>
        </w:numPr>
      </w:pPr>
      <w:r>
        <w:t xml:space="preserve">для SQLite отображаются количество записей и размер файла базы кеша.</w:t>
      </w:r>
    </w:p>
    <w:p>
      <w:pPr>
        <w:pStyle w:val="FirstParagraph"/>
      </w:pPr>
      <w:r>
        <w:t xml:space="preserve">Раздел</w:t>
      </w:r>
      <w:r>
        <w:t xml:space="preserve"> </w:t>
      </w:r>
      <w:r>
        <w:rPr>
          <w:rStyle w:val="VerbatimChar"/>
        </w:rPr>
        <w:t xml:space="preserve">Настройки APCU (php.ini)</w:t>
      </w:r>
      <w:r>
        <w:t xml:space="preserve"> </w:t>
      </w:r>
      <w:r>
        <w:t xml:space="preserve">показывает основные параметры PHP, влияющие на работу APCu:</w:t>
      </w:r>
      <w:r>
        <w:t xml:space="preserve"> </w:t>
      </w:r>
      <w:r>
        <w:rPr>
          <w:rStyle w:val="VerbatimChar"/>
        </w:rPr>
        <w:t xml:space="preserve">apc.enabled</w:t>
      </w:r>
      <w:r>
        <w:t xml:space="preserve">,</w:t>
      </w:r>
      <w:r>
        <w:t xml:space="preserve"> </w:t>
      </w:r>
      <w:r>
        <w:rPr>
          <w:rStyle w:val="VerbatimChar"/>
        </w:rPr>
        <w:t xml:space="preserve">apc.shm_size</w:t>
      </w:r>
      <w:r>
        <w:t xml:space="preserve">,</w:t>
      </w:r>
      <w:r>
        <w:t xml:space="preserve"> </w:t>
      </w:r>
      <w:r>
        <w:rPr>
          <w:rStyle w:val="VerbatimChar"/>
        </w:rPr>
        <w:t xml:space="preserve">apc.enable_cli</w:t>
      </w:r>
      <w:r>
        <w:t xml:space="preserve"> </w:t>
      </w:r>
      <w:r>
        <w:t xml:space="preserve">и</w:t>
      </w:r>
      <w:r>
        <w:t xml:space="preserve"> </w:t>
      </w:r>
      <w:r>
        <w:rPr>
          <w:rStyle w:val="VerbatimChar"/>
        </w:rPr>
        <w:t xml:space="preserve">apc.ttl</w:t>
      </w:r>
      <w:r>
        <w:t xml:space="preserve">.</w:t>
      </w:r>
    </w:p>
    <w:bookmarkEnd w:id="73"/>
    <w:bookmarkStart w:id="75" w:name="управление-кешем"/>
    <w:p>
      <w:pPr>
        <w:pStyle w:val="Heading3"/>
      </w:pPr>
      <w:r>
        <w:t xml:space="preserve">3. Управление кешем</w:t>
      </w:r>
    </w:p>
    <w:p>
      <w:pPr>
        <w:pStyle w:val="FirstParagraph"/>
      </w:pPr>
      <w:r>
        <w:t xml:space="preserve">Кнопка</w:t>
      </w:r>
      <w:r>
        <w:t xml:space="preserve"> </w:t>
      </w:r>
      <w:r>
        <w:rPr>
          <w:b/>
          <w:bCs/>
        </w:rPr>
        <w:t xml:space="preserve">Обновить данные</w:t>
      </w:r>
      <w:r>
        <w:t xml:space="preserve"> </w:t>
      </w:r>
      <w:r>
        <w:t xml:space="preserve">перечитывает статистику без изменения кеша.</w:t>
      </w:r>
    </w:p>
    <w:p>
      <w:pPr>
        <w:pStyle w:val="BodyText"/>
      </w:pPr>
      <w:r>
        <w:t xml:space="preserve">Кнопка</w:t>
      </w:r>
      <w:r>
        <w:t xml:space="preserve"> </w:t>
      </w:r>
      <w:r>
        <w:rPr>
          <w:b/>
          <w:bCs/>
        </w:rPr>
        <w:t xml:space="preserve">Очистить весь кеш</w:t>
      </w:r>
      <w:r>
        <w:t xml:space="preserve"> </w:t>
      </w:r>
      <w:r>
        <w:t xml:space="preserve">очищает кеш текущей инсталляции. Используйте ее после изменения системных настроек, исправления поврежденного кеша или диагностики проблем, когда нужно принудительно заставить систему заново построить кешированные данные.</w:t>
      </w:r>
    </w:p>
    <w:p>
      <w:pPr>
        <w:pStyle w:val="BodyText"/>
      </w:pPr>
      <w:r>
        <w:t xml:space="preserve">Подробнее об устройстве уровней кеша см. раздел</w:t>
      </w:r>
      <w:r>
        <w:t xml:space="preserve"> </w:t>
      </w:r>
      <w:hyperlink r:id="rId74">
        <w:r>
          <w:rPr>
            <w:rStyle w:val="Hyperlink"/>
          </w:rPr>
          <w:t xml:space="preserve">Многоуровневое кеширование</w:t>
        </w:r>
      </w:hyperlink>
      <w:r>
        <w:t xml:space="preserve">.</w:t>
      </w:r>
    </w:p>
    <w:bookmarkEnd w:id="75"/>
    <w:bookmarkEnd w:id="76"/>
    <w:bookmarkStart w:id="89" w:name="управление-правами-доступа"/>
    <w:p>
      <w:pPr>
        <w:pStyle w:val="Heading2"/>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77" w:name="где-хранятся-права"/>
    <w:p>
      <w:pPr>
        <w:pStyle w:val="Heading3"/>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17"/>
        </w:numPr>
      </w:pPr>
      <w:r>
        <w:t xml:space="preserve">системный идентификатор объекта (</w:t>
      </w:r>
      <w:r>
        <w:rPr>
          <w:rStyle w:val="VerbatimChar"/>
        </w:rPr>
        <w:t xml:space="preserve">SID</w:t>
      </w:r>
      <w:r>
        <w:t xml:space="preserve">);</w:t>
      </w:r>
    </w:p>
    <w:p>
      <w:pPr>
        <w:pStyle w:val="Compact"/>
        <w:numPr>
          <w:ilvl w:val="0"/>
          <w:numId w:val="1017"/>
        </w:numPr>
      </w:pPr>
      <w:r>
        <w:t xml:space="preserve">владельца объекта (</w:t>
      </w:r>
      <w:r>
        <w:rPr>
          <w:rStyle w:val="VerbatimChar"/>
        </w:rPr>
        <w:t xml:space="preserve">OSID</w:t>
      </w:r>
      <w:r>
        <w:t xml:space="preserve">);</w:t>
      </w:r>
    </w:p>
    <w:p>
      <w:pPr>
        <w:pStyle w:val="Compact"/>
        <w:numPr>
          <w:ilvl w:val="0"/>
          <w:numId w:val="1017"/>
        </w:numPr>
      </w:pPr>
      <w:r>
        <w:t xml:space="preserve">признаки наследования прав от вышестоящего объекта;</w:t>
      </w:r>
    </w:p>
    <w:p>
      <w:pPr>
        <w:pStyle w:val="Compact"/>
        <w:numPr>
          <w:ilvl w:val="0"/>
          <w:numId w:val="1017"/>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77"/>
    <w:bookmarkStart w:id="78" w:name="базовые-права-объекта"/>
    <w:p>
      <w:pPr>
        <w:pStyle w:val="Heading3"/>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18"/>
        </w:numPr>
      </w:pPr>
      <w:r>
        <w:rPr>
          <w:rStyle w:val="VerbatimChar"/>
        </w:rPr>
        <w:t xml:space="preserve">VIEW</w:t>
      </w:r>
      <w:r>
        <w:t xml:space="preserve"> </w:t>
      </w:r>
      <w:r>
        <w:t xml:space="preserve">- просмотр объекта;</w:t>
      </w:r>
    </w:p>
    <w:p>
      <w:pPr>
        <w:pStyle w:val="Compact"/>
        <w:numPr>
          <w:ilvl w:val="0"/>
          <w:numId w:val="1018"/>
        </w:numPr>
      </w:pPr>
      <w:r>
        <w:rPr>
          <w:rStyle w:val="VerbatimChar"/>
        </w:rPr>
        <w:t xml:space="preserve">EDIT</w:t>
      </w:r>
      <w:r>
        <w:t xml:space="preserve"> </w:t>
      </w:r>
      <w:r>
        <w:t xml:space="preserve">- редактирование объекта;</w:t>
      </w:r>
    </w:p>
    <w:p>
      <w:pPr>
        <w:pStyle w:val="Compact"/>
        <w:numPr>
          <w:ilvl w:val="0"/>
          <w:numId w:val="1018"/>
        </w:numPr>
      </w:pPr>
      <w:r>
        <w:rPr>
          <w:rStyle w:val="VerbatimChar"/>
        </w:rPr>
        <w:t xml:space="preserve">DELETE</w:t>
      </w:r>
      <w:r>
        <w:t xml:space="preserve"> </w:t>
      </w:r>
      <w:r>
        <w:t xml:space="preserve">- удаление объекта;</w:t>
      </w:r>
    </w:p>
    <w:p>
      <w:pPr>
        <w:pStyle w:val="Compact"/>
        <w:numPr>
          <w:ilvl w:val="0"/>
          <w:numId w:val="1018"/>
        </w:numPr>
      </w:pPr>
      <w:r>
        <w:rPr>
          <w:rStyle w:val="VerbatimChar"/>
        </w:rPr>
        <w:t xml:space="preserve">ADDSUB</w:t>
      </w:r>
      <w:r>
        <w:t xml:space="preserve"> </w:t>
      </w:r>
      <w:r>
        <w:t xml:space="preserve">- создание дочерних объектов;</w:t>
      </w:r>
    </w:p>
    <w:p>
      <w:pPr>
        <w:pStyle w:val="Compact"/>
        <w:numPr>
          <w:ilvl w:val="0"/>
          <w:numId w:val="1018"/>
        </w:numPr>
      </w:pPr>
      <w:r>
        <w:rPr>
          <w:rStyle w:val="VerbatimChar"/>
        </w:rPr>
        <w:t xml:space="preserve">VIEWRIGHTS</w:t>
      </w:r>
      <w:r>
        <w:t xml:space="preserve"> </w:t>
      </w:r>
      <w:r>
        <w:t xml:space="preserve">- просмотр назначенных прав;</w:t>
      </w:r>
    </w:p>
    <w:p>
      <w:pPr>
        <w:pStyle w:val="Compact"/>
        <w:numPr>
          <w:ilvl w:val="0"/>
          <w:numId w:val="1018"/>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18"/>
        </w:numPr>
      </w:pPr>
      <w:r>
        <w:rPr>
          <w:rStyle w:val="VerbatimChar"/>
        </w:rPr>
        <w:t xml:space="preserve">ADDRIGHTS</w:t>
      </w:r>
      <w:r>
        <w:t xml:space="preserve"> </w:t>
      </w:r>
      <w:r>
        <w:t xml:space="preserve">- добавление или разрешение прав;</w:t>
      </w:r>
    </w:p>
    <w:p>
      <w:pPr>
        <w:pStyle w:val="Compact"/>
        <w:numPr>
          <w:ilvl w:val="0"/>
          <w:numId w:val="1018"/>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78"/>
    <w:bookmarkStart w:id="79" w:name="субъекты-безопасности"/>
    <w:p>
      <w:pPr>
        <w:pStyle w:val="Heading3"/>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19"/>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19"/>
        </w:numPr>
      </w:pPr>
      <w:r>
        <w:rPr>
          <w:rStyle w:val="VerbatimChar"/>
        </w:rPr>
        <w:t xml:space="preserve">GROUP</w:t>
      </w:r>
      <w:r>
        <w:t xml:space="preserve"> </w:t>
      </w:r>
      <w:r>
        <w:t xml:space="preserve">- пользовательские группы;</w:t>
      </w:r>
    </w:p>
    <w:p>
      <w:pPr>
        <w:pStyle w:val="Compact"/>
        <w:numPr>
          <w:ilvl w:val="0"/>
          <w:numId w:val="1019"/>
        </w:numPr>
      </w:pPr>
      <w:r>
        <w:rPr>
          <w:rStyle w:val="VerbatimChar"/>
        </w:rPr>
        <w:t xml:space="preserve">LOGIN</w:t>
      </w:r>
      <w:r>
        <w:t xml:space="preserve"> </w:t>
      </w:r>
      <w:r>
        <w:t xml:space="preserve">- конкретный логин пользователя;</w:t>
      </w:r>
    </w:p>
    <w:p>
      <w:pPr>
        <w:pStyle w:val="Compact"/>
        <w:numPr>
          <w:ilvl w:val="0"/>
          <w:numId w:val="1019"/>
        </w:numPr>
      </w:pPr>
      <w:r>
        <w:rPr>
          <w:rStyle w:val="VerbatimChar"/>
        </w:rPr>
        <w:t xml:space="preserve">LDAPGROUP</w:t>
      </w:r>
      <w:r>
        <w:t xml:space="preserve"> </w:t>
      </w:r>
      <w:r>
        <w:t xml:space="preserve">- группа безопасности LDAP;</w:t>
      </w:r>
    </w:p>
    <w:p>
      <w:pPr>
        <w:pStyle w:val="Compact"/>
        <w:numPr>
          <w:ilvl w:val="0"/>
          <w:numId w:val="1019"/>
        </w:numPr>
      </w:pPr>
      <w:r>
        <w:rPr>
          <w:rStyle w:val="VerbatimChar"/>
        </w:rPr>
        <w:t xml:space="preserve">IP</w:t>
      </w:r>
      <w:r>
        <w:t xml:space="preserve"> </w:t>
      </w:r>
      <w:r>
        <w:t xml:space="preserve">- IP-адрес или сеть;</w:t>
      </w:r>
    </w:p>
    <w:p>
      <w:pPr>
        <w:pStyle w:val="Compact"/>
        <w:numPr>
          <w:ilvl w:val="0"/>
          <w:numId w:val="1019"/>
        </w:numPr>
      </w:pPr>
      <w:r>
        <w:rPr>
          <w:rStyle w:val="VerbatimChar"/>
        </w:rPr>
        <w:t xml:space="preserve">BROWSERUSERAGENT</w:t>
      </w:r>
      <w:r>
        <w:t xml:space="preserve"> </w:t>
      </w:r>
      <w:r>
        <w:t xml:space="preserve">- браузер или пользовательский агент;</w:t>
      </w:r>
    </w:p>
    <w:p>
      <w:pPr>
        <w:pStyle w:val="Compact"/>
        <w:numPr>
          <w:ilvl w:val="0"/>
          <w:numId w:val="1019"/>
        </w:numPr>
      </w:pPr>
      <w:r>
        <w:rPr>
          <w:rStyle w:val="VerbatimChar"/>
        </w:rPr>
        <w:t xml:space="preserve">DOMENS</w:t>
      </w:r>
      <w:r>
        <w:t xml:space="preserve"> </w:t>
      </w:r>
      <w:r>
        <w:t xml:space="preserve">- домен;</w:t>
      </w:r>
    </w:p>
    <w:p>
      <w:pPr>
        <w:pStyle w:val="Compact"/>
        <w:numPr>
          <w:ilvl w:val="0"/>
          <w:numId w:val="1019"/>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79"/>
    <w:bookmarkStart w:id="83" w:name="назначение-ролей-пользователю"/>
    <w:p>
      <w:pPr>
        <w:pStyle w:val="Heading3"/>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81" name="Picture"/>
            <a:graphic>
              <a:graphicData uri="http://schemas.openxmlformats.org/drawingml/2006/picture">
                <pic:pic>
                  <pic:nvPicPr>
                    <pic:cNvPr descr="modules/Admin/Help/img/access-rights-user-roles.png" id="82" name="Picture"/>
                    <pic:cNvPicPr>
                      <a:picLocks noChangeArrowheads="1" noChangeAspect="1"/>
                    </pic:cNvPicPr>
                  </pic:nvPicPr>
                  <pic:blipFill>
                    <a:blip r:embed="rId80"/>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83"/>
    <w:bookmarkStart w:id="85" w:name="наследование-прав"/>
    <w:p>
      <w:pPr>
        <w:pStyle w:val="Heading3"/>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20"/>
        </w:numPr>
      </w:pPr>
      <w:r>
        <w:t xml:space="preserve">открыть окно прав объекта (</w:t>
      </w:r>
      <w:r>
        <w:rPr>
          <w:rStyle w:val="VerbatimChar"/>
        </w:rPr>
        <w:t xml:space="preserve">Admin/GetSecWindow</w:t>
      </w:r>
      <w:r>
        <w:t xml:space="preserve">);</w:t>
      </w:r>
    </w:p>
    <w:p>
      <w:pPr>
        <w:pStyle w:val="Compact"/>
        <w:numPr>
          <w:ilvl w:val="0"/>
          <w:numId w:val="1020"/>
        </w:numPr>
      </w:pPr>
      <w:r>
        <w:t xml:space="preserve">добавить или изменить правила (</w:t>
      </w:r>
      <w:r>
        <w:rPr>
          <w:rStyle w:val="VerbatimChar"/>
        </w:rPr>
        <w:t xml:space="preserve">Admin/SecAddProps</w:t>
      </w:r>
      <w:r>
        <w:t xml:space="preserve">);</w:t>
      </w:r>
    </w:p>
    <w:p>
      <w:pPr>
        <w:pStyle w:val="Compact"/>
        <w:numPr>
          <w:ilvl w:val="0"/>
          <w:numId w:val="1020"/>
        </w:numPr>
      </w:pPr>
      <w:r>
        <w:t xml:space="preserve">удалить правила (</w:t>
      </w:r>
      <w:r>
        <w:rPr>
          <w:rStyle w:val="VerbatimChar"/>
        </w:rPr>
        <w:t xml:space="preserve">Admin/SecDel</w:t>
      </w:r>
      <w:r>
        <w:t xml:space="preserve">);</w:t>
      </w:r>
    </w:p>
    <w:p>
      <w:pPr>
        <w:pStyle w:val="Compact"/>
        <w:numPr>
          <w:ilvl w:val="0"/>
          <w:numId w:val="1020"/>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20"/>
        </w:numPr>
      </w:pPr>
      <w:r>
        <w:t xml:space="preserve">локализовать наследуемые правила (</w:t>
      </w:r>
      <w:r>
        <w:rPr>
          <w:rStyle w:val="VerbatimChar"/>
        </w:rPr>
        <w:t xml:space="preserve">Admin/SecMakeLocal</w:t>
      </w:r>
      <w:r>
        <w:t xml:space="preserve">);</w:t>
      </w:r>
    </w:p>
    <w:p>
      <w:pPr>
        <w:pStyle w:val="Compact"/>
        <w:numPr>
          <w:ilvl w:val="0"/>
          <w:numId w:val="1020"/>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84" w:name="локализация-наследуемых-прав"/>
    <w:p>
      <w:pPr>
        <w:pStyle w:val="Heading4"/>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21"/>
        </w:numPr>
      </w:pPr>
      <w:r>
        <w:t xml:space="preserve">Откройте окно «Права на объект» для нужного модуля, страницы или объектной записи.</w:t>
      </w:r>
    </w:p>
    <w:p>
      <w:pPr>
        <w:pStyle w:val="Compact"/>
        <w:numPr>
          <w:ilvl w:val="0"/>
          <w:numId w:val="1021"/>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21"/>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21"/>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84"/>
    <w:bookmarkEnd w:id="85"/>
    <w:bookmarkStart w:id="86" w:name="системный-доступ-администратора"/>
    <w:p>
      <w:pPr>
        <w:pStyle w:val="Heading3"/>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86"/>
    <w:bookmarkStart w:id="87" w:name="контроль-списка-прав"/>
    <w:p>
      <w:pPr>
        <w:pStyle w:val="Heading3"/>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22"/>
        </w:numPr>
      </w:pPr>
      <w:r>
        <w:t xml:space="preserve">какие пользователи и группы входят в административные роли;</w:t>
      </w:r>
    </w:p>
    <w:p>
      <w:pPr>
        <w:pStyle w:val="Compact"/>
        <w:numPr>
          <w:ilvl w:val="0"/>
          <w:numId w:val="1022"/>
        </w:numPr>
      </w:pPr>
      <w:r>
        <w:t xml:space="preserve">какие объекты имеют локальные права вместо наследуемых;</w:t>
      </w:r>
    </w:p>
    <w:p>
      <w:pPr>
        <w:pStyle w:val="Compact"/>
        <w:numPr>
          <w:ilvl w:val="0"/>
          <w:numId w:val="1022"/>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22"/>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22"/>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87"/>
    <w:bookmarkStart w:id="88" w:name="практическая-проверка"/>
    <w:p>
      <w:pPr>
        <w:pStyle w:val="Heading3"/>
      </w:pPr>
      <w:r>
        <w:t xml:space="preserve">8. Практическая проверка</w:t>
      </w:r>
    </w:p>
    <w:p>
      <w:pPr>
        <w:pStyle w:val="FirstParagraph"/>
      </w:pPr>
      <w:r>
        <w:t xml:space="preserve">После изменения прав проверьте:</w:t>
      </w:r>
    </w:p>
    <w:p>
      <w:pPr>
        <w:pStyle w:val="Compact"/>
        <w:numPr>
          <w:ilvl w:val="0"/>
          <w:numId w:val="1023"/>
        </w:numPr>
      </w:pPr>
      <w:r>
        <w:t xml:space="preserve">Пользователь с нужной ролью видит объект или модуль.</w:t>
      </w:r>
    </w:p>
    <w:p>
      <w:pPr>
        <w:pStyle w:val="Compact"/>
        <w:numPr>
          <w:ilvl w:val="0"/>
          <w:numId w:val="1023"/>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23"/>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23"/>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23"/>
        </w:numPr>
      </w:pPr>
      <w:r>
        <w:t xml:space="preserve">Для дочерних объектов после изменения наследования выполнена фоновая задача обновления прав.</w:t>
      </w:r>
    </w:p>
    <w:bookmarkEnd w:id="88"/>
    <w:bookmarkEnd w:id="89"/>
    <w:bookmarkEnd w:id="9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 Target="media/rId11.png" /><Relationship Type="http://schemas.openxmlformats.org/officeDocument/2006/relationships/image" Id="rId15" Target="media/rId15.png" /><Relationship Type="http://schemas.openxmlformats.org/officeDocument/2006/relationships/image" Id="rId20" Target="media/rId20.png" /><Relationship Type="http://schemas.openxmlformats.org/officeDocument/2006/relationships/image" Id="rId80" Target="media/rId80.png" /><Relationship Type="http://schemas.openxmlformats.org/officeDocument/2006/relationships/image" Id="rId69" Target="media/rId69.png" /><Relationship Type="http://schemas.openxmlformats.org/officeDocument/2006/relationships/image" Id="rId55" Target="media/rId55.png" /><Relationship Type="http://schemas.openxmlformats.org/officeDocument/2006/relationships/image" Id="rId59" Target="media/rId59.png" /><Relationship Type="http://schemas.openxmlformats.org/officeDocument/2006/relationships/image" Id="rId63" Target="media/rId63.png" /><Relationship Type="http://schemas.openxmlformats.org/officeDocument/2006/relationships/image" Id="rId25" Target="media/rId25.png" /><Relationship Type="http://schemas.openxmlformats.org/officeDocument/2006/relationships/hyperlink" Id="rId50" Target="?id=Help/Show&amp;m=Admin/AccessRights" TargetMode="External" /><Relationship Type="http://schemas.openxmlformats.org/officeDocument/2006/relationships/hyperlink" Id="rId45" Target="?id=Help/Show&amp;m=Admin/Databases" TargetMode="External" /><Relationship Type="http://schemas.openxmlformats.org/officeDocument/2006/relationships/hyperlink" Id="rId9" Target="?id=Help/Show&amp;m=Admin/Help/ShowCacheState" TargetMode="External" /><Relationship Type="http://schemas.openxmlformats.org/officeDocument/2006/relationships/hyperlink" Id="rId47" Target="?id=Help/Show&amp;m=CSpider/Admin/Organizations" TargetMode="External" /><Relationship Type="http://schemas.openxmlformats.org/officeDocument/2006/relationships/hyperlink" Id="rId40" Target="?id=Help/Show&amp;m=DP_Irbis64Native/Root" TargetMode="External" /><Relationship Type="http://schemas.openxmlformats.org/officeDocument/2006/relationships/hyperlink" Id="rId74" Target="?id=Help/Show&amp;m=Help/Help/Server128/SystemCore/Cache" TargetMode="External" /><Relationship Type="http://schemas.openxmlformats.org/officeDocument/2006/relationships/hyperlink" Id="rId18" Target="?id=Help/Show&amp;m=Help/Server128/SystemCore/OPTIONS" TargetMode="External" /><Relationship Type="http://schemas.openxmlformats.org/officeDocument/2006/relationships/hyperlink" Id="rId38" Target="?id=Help/Show&amp;m=Help/SystemRequirements/ApplicationServer" TargetMode="External" /></Relationships>
</file>

<file path=word/_rels/footnotes.xml.rels><?xml version="1.0" encoding="UTF-8"?><Relationships xmlns="http://schemas.openxmlformats.org/package/2006/relationships"><Relationship Type="http://schemas.openxmlformats.org/officeDocument/2006/relationships/hyperlink" Id="rId50" Target="?id=Help/Show&amp;m=Admin/AccessRights" TargetMode="External" /><Relationship Type="http://schemas.openxmlformats.org/officeDocument/2006/relationships/hyperlink" Id="rId45" Target="?id=Help/Show&amp;m=Admin/Databases" TargetMode="External" /><Relationship Type="http://schemas.openxmlformats.org/officeDocument/2006/relationships/hyperlink" Id="rId9" Target="?id=Help/Show&amp;m=Admin/Help/ShowCacheState" TargetMode="External" /><Relationship Type="http://schemas.openxmlformats.org/officeDocument/2006/relationships/hyperlink" Id="rId47" Target="?id=Help/Show&amp;m=CSpider/Admin/Organizations" TargetMode="External" /><Relationship Type="http://schemas.openxmlformats.org/officeDocument/2006/relationships/hyperlink" Id="rId40" Target="?id=Help/Show&amp;m=DP_Irbis64Native/Root" TargetMode="External" /><Relationship Type="http://schemas.openxmlformats.org/officeDocument/2006/relationships/hyperlink" Id="rId74" Target="?id=Help/Show&amp;m=Help/Help/Server128/SystemCore/Cache" TargetMode="External" /><Relationship Type="http://schemas.openxmlformats.org/officeDocument/2006/relationships/hyperlink" Id="rId18" Target="?id=Help/Show&amp;m=Help/Server128/SystemCore/OPTIONS" TargetMode="External" /><Relationship Type="http://schemas.openxmlformats.org/officeDocument/2006/relationships/hyperlink" Id="rId38" Target="?id=Help/Show&amp;m=Help/SystemRequirements/ApplicationServ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Руководство пользователя</dc:title>
  <dc:creator/>
  <cp:keywords/>
  <dcterms:created xsi:type="dcterms:W3CDTF">2026-09-09T00:02:04Z</dcterms:created>
  <dcterms:modified xsi:type="dcterms:W3CDTF">2026-09-09T00:02:04Z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