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атистические-формы"/>
    <w:p>
      <w:pPr>
        <w:pStyle w:val="Heading1"/>
      </w:pPr>
      <w:r>
        <w:t xml:space="preserve">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поставляет набор шаблонов статистических форм</w:t>
      </w:r>
      <w:r>
        <w:t xml:space="preserve"> </w:t>
      </w:r>
      <w:r>
        <w:rPr>
          <w:rStyle w:val="VerbatimChar"/>
        </w:rPr>
        <w:t xml:space="preserve">.stt128</w:t>
      </w:r>
      <w:r>
        <w:t xml:space="preserve"> </w:t>
      </w:r>
      <w:r>
        <w:t xml:space="preserve">для отчетов по читателям, книговыдаче, запросам и записям.</w:t>
      </w:r>
    </w:p>
    <w:bookmarkStart w:id="9" w:name="назначение-statforms"/>
    <w:p>
      <w:pPr>
        <w:pStyle w:val="Heading2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</dc:title>
  <dc:creator/>
  <cp:keywords/>
  <dcterms:created xsi:type="dcterms:W3CDTF">2026-09-04T05:54:41Z</dcterms:created>
  <dcterms:modified xsi:type="dcterms:W3CDTF">2026-09-04T05:54:41Z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