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Документация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9" w:name="документация"/>
    <w:p>
      <w:pPr>
        <w:pStyle w:val="Heading1"/>
      </w:pPr>
      <w:r>
        <w:t xml:space="preserve">Документация</w:t>
      </w:r>
    </w:p>
    <w:bookmarkStart w:id="14" w:name="модуль-статистики"/>
    <w:p>
      <w:pPr>
        <w:pStyle w:val="Heading2"/>
      </w:pPr>
      <w:r>
        <w:t xml:space="preserve">Модуль статистики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собирает и показывает статистические данные по работе системы: посещения страниц, запросы пользователей, активность электронного каталога, книговыдачу, межбиблиотечный абонемент, отчеты организаций и служебные показатели нагрузки.</w:t>
      </w:r>
    </w:p>
    <w:p>
      <w:pPr>
        <w:pStyle w:val="BodyText"/>
      </w:pPr>
      <w:r>
        <w:t xml:space="preserve">Раздел предназначен для администраторов и сотрудников, которые проверяют статистику портала, выгружают отчеты и запускают перерасчет показателей.</w:t>
      </w:r>
    </w:p>
    <w:bookmarkStart w:id="9" w:name="основные-задачи"/>
    <w:p>
      <w:pPr>
        <w:pStyle w:val="Heading3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Просмотр сводной статистики в странице</w:t>
      </w:r>
      <w:r>
        <w:t xml:space="preserve"> </w:t>
      </w:r>
      <w:r>
        <w:rPr>
          <w:rStyle w:val="VerbatimChar"/>
        </w:rPr>
        <w:t xml:space="preserve">Stat/Show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Анализ посещений, запросов и IP-адресов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Просмотр логов сайта и упаковка накопленных журналов.</w:t>
      </w:r>
    </w:p>
    <w:p>
      <w:pPr>
        <w:pStyle w:val="Compact"/>
        <w:numPr>
          <w:ilvl w:val="0"/>
          <w:numId w:val="1001"/>
        </w:numPr>
      </w:pPr>
      <w:r>
        <w:t xml:space="preserve">Формирование отчетов по книговыдаче и МБА.</w:t>
      </w:r>
    </w:p>
    <w:p>
      <w:pPr>
        <w:pStyle w:val="Compact"/>
        <w:numPr>
          <w:ilvl w:val="0"/>
          <w:numId w:val="1001"/>
        </w:numPr>
      </w:pPr>
      <w:r>
        <w:t xml:space="preserve">Формирование статистики организаций и сводного каталога.</w:t>
      </w:r>
    </w:p>
    <w:p>
      <w:pPr>
        <w:pStyle w:val="Compact"/>
        <w:numPr>
          <w:ilvl w:val="0"/>
          <w:numId w:val="1001"/>
        </w:numPr>
      </w:pPr>
      <w:r>
        <w:t xml:space="preserve">Перерасчет статистических показателей за период.</w:t>
      </w:r>
    </w:p>
    <w:p>
      <w:pPr>
        <w:pStyle w:val="Compact"/>
        <w:numPr>
          <w:ilvl w:val="0"/>
          <w:numId w:val="1001"/>
        </w:numPr>
      </w:pPr>
      <w:r>
        <w:t xml:space="preserve">Экспорт результатов в CSV или XLS.</w:t>
      </w:r>
    </w:p>
    <w:bookmarkEnd w:id="9"/>
    <w:bookmarkStart w:id="10" w:name="где-хранятся-данные"/>
    <w:p>
      <w:pPr>
        <w:pStyle w:val="Heading3"/>
      </w:pPr>
      <w:r>
        <w:t xml:space="preserve">2. Где хранятся данные</w:t>
      </w:r>
    </w:p>
    <w:p>
      <w:pPr>
        <w:pStyle w:val="FirstParagraph"/>
      </w:pPr>
      <w:r>
        <w:t xml:space="preserve">Модуль использует собственные счетчики и служебные записи конфигурации. При инициализации создается SID-хранилище</w:t>
      </w:r>
      <w:r>
        <w:t xml:space="preserve"> </w:t>
      </w:r>
      <w:r>
        <w:rPr>
          <w:rStyle w:val="VerbatimChar"/>
        </w:rPr>
        <w:t xml:space="preserve">counters</w:t>
      </w:r>
      <w:r>
        <w:t xml:space="preserve"> </w:t>
      </w:r>
      <w:r>
        <w:t xml:space="preserve">с полями типа счетчика, трех измерений, количества и времени. Отдельные отчеты также используют журналы сайта, данные модулей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и статистические группы из настроек модуля.</w:t>
      </w:r>
    </w:p>
    <w:bookmarkEnd w:id="10"/>
    <w:bookmarkStart w:id="13" w:name="связанные-разделы"/>
    <w:p>
      <w:pPr>
        <w:pStyle w:val="Heading3"/>
      </w:pPr>
      <w:r>
        <w:t xml:space="preserve">3. Связанные разделы</w:t>
      </w:r>
    </w:p>
    <w:p>
      <w:pPr>
        <w:pStyle w:val="Compact"/>
        <w:numPr>
          <w:ilvl w:val="0"/>
          <w:numId w:val="1002"/>
        </w:numPr>
      </w:pPr>
      <w:r>
        <w:t xml:space="preserve">Статистические формы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описаны в разделе (разд.</w:t>
      </w:r>
      <w:r>
        <w:t xml:space="preserve"> </w:t>
      </w:r>
      <w:r>
        <w:t xml:space="preserve">“</w:t>
      </w:r>
      <w:hyperlink r:id="rId11">
        <w:r>
          <w:rPr>
            <w:rStyle w:val="Hyperlink"/>
          </w:rPr>
          <w:t xml:space="preserve">Статистические формы</w:t>
        </w:r>
      </w:hyperlink>
      <w:r>
        <w:t xml:space="preserve">”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t xml:space="preserve">Фоновые задачи и мониторинг очереди описаны в разделе (разд.</w:t>
      </w:r>
      <w:r>
        <w:t xml:space="preserve"> </w:t>
      </w:r>
      <w:r>
        <w:t xml:space="preserve">“</w:t>
      </w:r>
      <w:hyperlink r:id="rId12">
        <w:r>
          <w:rPr>
            <w:rStyle w:val="Hyperlink"/>
          </w:rPr>
          <w:t xml:space="preserve">Инструменты панели мониторинга очереди (</w:t>
        </w:r>
        <w:r>
          <w:rPr>
            <w:rStyle w:val="VerbatimChar"/>
          </w:rPr>
          <w:t xml:space="preserve">InfoQueue</w:t>
        </w:r>
        <w:r>
          <w:rPr>
            <w:rStyle w:val="Hyperlink"/>
          </w:rPr>
          <w:t xml:space="preserve">)</w:t>
        </w:r>
      </w:hyperlink>
      <w:r>
        <w:t xml:space="preserve">”</w:t>
      </w:r>
      <w:r>
        <w:t xml:space="preserve">).</w:t>
      </w:r>
    </w:p>
    <w:bookmarkEnd w:id="13"/>
    <w:bookmarkEnd w:id="14"/>
    <w:bookmarkStart w:id="22" w:name="отчеты-и-операции-статистики"/>
    <w:p>
      <w:pPr>
        <w:pStyle w:val="Heading2"/>
      </w:pPr>
      <w:r>
        <w:t xml:space="preserve">Отчеты и операции статистики</w:t>
      </w:r>
    </w:p>
    <w:p>
      <w:pPr>
        <w:pStyle w:val="FirstParagraph"/>
      </w:pPr>
      <w:r>
        <w:t xml:space="preserve">Статистические страницы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делятся на несколько групп. Часть страниц показывает готовые показатели сразу, часть принимает параметры периода, пользователя, организации или базы данных, а часть запускает перерасчет и экспорт.</w:t>
      </w:r>
    </w:p>
    <w:bookmarkStart w:id="15" w:name="общая-статистика-портала"/>
    <w:p>
      <w:pPr>
        <w:pStyle w:val="Heading3"/>
      </w:pPr>
      <w:r>
        <w:t xml:space="preserve">1. Общая статистика портала</w:t>
      </w:r>
    </w:p>
    <w:p>
      <w:pPr>
        <w:pStyle w:val="FirstParagraph"/>
      </w:pPr>
      <w:r>
        <w:t xml:space="preserve">Для анализа активности портала используются страницы: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Stat/GeneralPoss</w:t>
      </w:r>
      <w:r>
        <w:t xml:space="preserve"> </w:t>
      </w:r>
      <w:r>
        <w:t xml:space="preserve">- общее число посещений;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</w:t>
      </w:r>
      <w:r>
        <w:t xml:space="preserve"> </w:t>
      </w:r>
      <w:r>
        <w:t xml:space="preserve">- статистика входов на страницы портала;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Stat/PagesPoss</w:t>
      </w:r>
      <w:r>
        <w:t xml:space="preserve"> </w:t>
      </w:r>
      <w:r>
        <w:t xml:space="preserve">- количество входов на каждую страницу;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Stat/SLPoss</w:t>
      </w:r>
      <w:r>
        <w:t xml:space="preserve"> </w:t>
      </w:r>
      <w:r>
        <w:t xml:space="preserve">- общее количество посещений по журналу сайта;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Stat/SLRqsts</w:t>
      </w:r>
      <w:r>
        <w:t xml:space="preserve"> </w:t>
      </w:r>
      <w:r>
        <w:t xml:space="preserve">- общее количество запросов;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Stat/UsersIP</w:t>
      </w:r>
      <w:r>
        <w:t xml:space="preserve"> </w:t>
      </w:r>
      <w:r>
        <w:t xml:space="preserve">- IP-адреса входов на портал;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Stat/ShowSiteLog</w:t>
      </w:r>
      <w:r>
        <w:t xml:space="preserve"> </w:t>
      </w:r>
      <w:r>
        <w:t xml:space="preserve">- просмотр журнала сайта.</w:t>
      </w:r>
    </w:p>
    <w:p>
      <w:pPr>
        <w:pStyle w:val="FirstParagraph"/>
      </w:pPr>
      <w:r>
        <w:t xml:space="preserve">Если отчет строится медленно или возвращает неполные данные, сначала проверяют наличие журналов сайта и корректность выбранного периода.</w:t>
      </w:r>
    </w:p>
    <w:bookmarkEnd w:id="15"/>
    <w:bookmarkStart w:id="16" w:name="статистика-электронного-каталога"/>
    <w:p>
      <w:pPr>
        <w:pStyle w:val="Heading3"/>
      </w:pPr>
      <w:r>
        <w:t xml:space="preserve">2. Статистика электронного каталога</w:t>
      </w:r>
    </w:p>
    <w:p>
      <w:pPr>
        <w:pStyle w:val="FirstParagraph"/>
      </w:pPr>
      <w:r>
        <w:t xml:space="preserve">Для оценки состава электронного каталога используются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Stat/StructECByHd</w:t>
      </w:r>
      <w:r>
        <w:t xml:space="preserve"> </w:t>
      </w:r>
      <w:r>
        <w:t xml:space="preserve">- распределение изданий по характеру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Stat/StructECByVid</w:t>
      </w:r>
      <w:r>
        <w:t xml:space="preserve"> </w:t>
      </w:r>
      <w:r>
        <w:t xml:space="preserve">- распределение изданий по виду документа;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Stat/StructECByYear</w:t>
      </w:r>
      <w:r>
        <w:t xml:space="preserve"> </w:t>
      </w:r>
      <w:r>
        <w:t xml:space="preserve">- распределение изданий по году издания;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Stat/SKStat</w:t>
      </w:r>
      <w:r>
        <w:t xml:space="preserve"> </w:t>
      </w:r>
      <w:r>
        <w:t xml:space="preserve">- статистика сводного каталога.</w:t>
      </w:r>
    </w:p>
    <w:p>
      <w:pPr>
        <w:pStyle w:val="FirstParagraph"/>
      </w:pPr>
      <w:r>
        <w:t xml:space="preserve">Эти отчеты зависят от заполненности библиографических полей и индексов базы данных.</w:t>
      </w:r>
    </w:p>
    <w:bookmarkEnd w:id="16"/>
    <w:bookmarkStart w:id="17" w:name="книговыдача-и-мба"/>
    <w:p>
      <w:pPr>
        <w:pStyle w:val="Heading3"/>
      </w:pPr>
      <w:r>
        <w:t xml:space="preserve">3. Книговыдача и МБА</w:t>
      </w:r>
    </w:p>
    <w:p>
      <w:pPr>
        <w:pStyle w:val="FirstParagraph"/>
      </w:pPr>
      <w:r>
        <w:t xml:space="preserve">Страницы группы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показывают статистику книговыдачи и межбиблиотечного абонемента: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</w:t>
      </w:r>
      <w:r>
        <w:t xml:space="preserve"> </w:t>
      </w:r>
      <w:r>
        <w:t xml:space="preserve">- входная страница статистики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Stat/BooklandLog1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Stat/BooklandLog5</w:t>
      </w:r>
      <w:r>
        <w:t xml:space="preserve"> </w:t>
      </w:r>
      <w:r>
        <w:t xml:space="preserve">- отчеты по журналам книговыдачи;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Stat/BooklandMBA1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Stat/BooklandMBAFrom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Stat/BooklandMBATo</w:t>
      </w:r>
      <w:r>
        <w:t xml:space="preserve"> </w:t>
      </w:r>
      <w:r>
        <w:t xml:space="preserve">- отчеты МБА.</w:t>
      </w:r>
    </w:p>
    <w:p>
      <w:pPr>
        <w:pStyle w:val="FirstParagraph"/>
      </w:pPr>
      <w:r>
        <w:t xml:space="preserve">Для корректных результатов должны быть доступны данные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выбранный период отчета.</w:t>
      </w:r>
    </w:p>
    <w:bookmarkEnd w:id="17"/>
    <w:bookmarkStart w:id="18" w:name="статистика-организаций"/>
    <w:p>
      <w:pPr>
        <w:pStyle w:val="Heading3"/>
      </w:pPr>
      <w:r>
        <w:t xml:space="preserve">4. Статистика организаций</w:t>
      </w:r>
    </w:p>
    <w:p>
      <w:pPr>
        <w:pStyle w:val="FirstParagraph"/>
      </w:pPr>
      <w:r>
        <w:t xml:space="preserve">Отчеты организаций строятся действиями</w:t>
      </w:r>
      <w:r>
        <w:t xml:space="preserve"> </w:t>
      </w:r>
      <w:r>
        <w:rPr>
          <w:rStyle w:val="VerbatimChar"/>
        </w:rPr>
        <w:t xml:space="preserve">Stat/StatOrgsOverview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Stat/Stat_OrgAll</w:t>
      </w:r>
      <w:r>
        <w:t xml:space="preserve"> </w:t>
      </w:r>
      <w:r>
        <w:t xml:space="preserve">и связанными функциями</w:t>
      </w:r>
      <w:r>
        <w:t xml:space="preserve"> </w:t>
      </w:r>
      <w:r>
        <w:rPr>
          <w:rStyle w:val="VerbatimChar"/>
        </w:rPr>
        <w:t xml:space="preserve">SSShowStatOrgs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SSPrepareStatOrgs</w:t>
      </w:r>
      <w:r>
        <w:t xml:space="preserve">,</w:t>
      </w:r>
      <w:r>
        <w:t xml:space="preserve"> </w:t>
      </w:r>
      <w:r>
        <w:rPr>
          <w:rStyle w:val="VerbatimChar"/>
        </w:rPr>
        <w:t xml:space="preserve">SSShowStatOrgsImport</w:t>
      </w:r>
      <w:r>
        <w:t xml:space="preserve">. Они используются для сводных показателей по организациям, базам данных и загруженным записям.</w:t>
      </w:r>
    </w:p>
    <w:p>
      <w:pPr>
        <w:pStyle w:val="BodyText"/>
      </w:pPr>
      <w:r>
        <w:t xml:space="preserve">Перед публикацией итогов желательно проверить настройки статистических групп и при необходимости выполнить обновление групп действиями</w:t>
      </w:r>
      <w:r>
        <w:t xml:space="preserve"> </w:t>
      </w:r>
      <w:r>
        <w:rPr>
          <w:rStyle w:val="VerbatimChar"/>
        </w:rPr>
        <w:t xml:space="preserve">UpdateStatGroup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UpdateStatGroupAll</w:t>
      </w:r>
      <w:r>
        <w:t xml:space="preserve">.</w:t>
      </w:r>
    </w:p>
    <w:bookmarkEnd w:id="18"/>
    <w:bookmarkStart w:id="20" w:name="форма-6-нк"/>
    <w:p>
      <w:pPr>
        <w:pStyle w:val="Heading3"/>
      </w:pPr>
      <w:r>
        <w:t xml:space="preserve">5. Форма 6-НК</w:t>
      </w:r>
    </w:p>
    <w:p>
      <w:pPr>
        <w:pStyle w:val="FirstParagraph"/>
      </w:pPr>
      <w:r>
        <w:t xml:space="preserve">Краткая форма 6-НК подключается как пользовательская группа статистики через функцию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и использует базу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для записей отчетных периодов. Настройка группы, состав вкладок рабочего листа и источники автозаполнения описаны в</w:t>
      </w:r>
      <w:r>
        <w:t xml:space="preserve"> </w:t>
      </w:r>
      <w:hyperlink r:id="rId19">
        <w:r>
          <w:rPr>
            <w:rStyle w:val="Hyperlink"/>
          </w:rPr>
          <w:t xml:space="preserve">разделе о форме 6-НК</w:t>
        </w:r>
      </w:hyperlink>
      <w:r>
        <w:t xml:space="preserve">.</w:t>
      </w:r>
    </w:p>
    <w:bookmarkEnd w:id="20"/>
    <w:bookmarkStart w:id="21" w:name="перерасчет-и-экспорт"/>
    <w:p>
      <w:pPr>
        <w:pStyle w:val="Heading3"/>
      </w:pPr>
      <w:r>
        <w:t xml:space="preserve">6. Перерасчет и экспорт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Stat/RecalcStats</w:t>
      </w:r>
      <w:r>
        <w:t xml:space="preserve"> </w:t>
      </w:r>
      <w:r>
        <w:t xml:space="preserve">запускает перерасчет показателей за выбранный период. Экспорт результатов выполняется действиями</w:t>
      </w:r>
      <w:r>
        <w:t xml:space="preserve"> </w:t>
      </w:r>
      <w:r>
        <w:rPr>
          <w:rStyle w:val="VerbatimChar"/>
        </w:rPr>
        <w:t xml:space="preserve">Stat/GetAsCsv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Stat/GetXlsStat</w:t>
      </w:r>
      <w:r>
        <w:t xml:space="preserve">.</w:t>
      </w:r>
    </w:p>
    <w:p>
      <w:pPr>
        <w:pStyle w:val="BodyText"/>
      </w:pPr>
      <w:r>
        <w:t xml:space="preserve">Рекомендуемый порядок диагностики:</w:t>
      </w:r>
    </w:p>
    <w:p>
      <w:pPr>
        <w:pStyle w:val="Compact"/>
        <w:numPr>
          <w:ilvl w:val="0"/>
          <w:numId w:val="1006"/>
        </w:numPr>
      </w:pPr>
      <w:r>
        <w:t xml:space="preserve">Проверить, выбран ли корректный период и источник данных.</w:t>
      </w:r>
    </w:p>
    <w:p>
      <w:pPr>
        <w:pStyle w:val="Compact"/>
        <w:numPr>
          <w:ilvl w:val="0"/>
          <w:numId w:val="1006"/>
        </w:numPr>
      </w:pPr>
      <w:r>
        <w:t xml:space="preserve">Проверить, есть ли исходные события в журналах или счетчиках.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выполнить перерасчет.</w:t>
      </w:r>
    </w:p>
    <w:p>
      <w:pPr>
        <w:pStyle w:val="Compact"/>
        <w:numPr>
          <w:ilvl w:val="0"/>
          <w:numId w:val="1006"/>
        </w:numPr>
      </w:pPr>
      <w:r>
        <w:t xml:space="preserve">После перерасчета выгрузить результат в CSV или XLS и сверить итоговые строки.</w:t>
      </w:r>
    </w:p>
    <w:bookmarkEnd w:id="21"/>
    <w:bookmarkEnd w:id="22"/>
    <w:bookmarkStart w:id="28" w:name="форма-6-нк-1"/>
    <w:p>
      <w:pPr>
        <w:pStyle w:val="Heading2"/>
      </w:pPr>
      <w:r>
        <w:t xml:space="preserve">Форма 6-НК</w:t>
      </w:r>
    </w:p>
    <w:p>
      <w:pPr>
        <w:pStyle w:val="FirstParagraph"/>
      </w:pPr>
      <w:r>
        <w:t xml:space="preserve">Раздел предназначен для подготовки статистических данных по краткой форме 6-НК, утвержденной приказом N 576 от 26.11.2024. В поставку входит 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материалы для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, а в модуле</w:t>
      </w:r>
      <w:r>
        <w:t xml:space="preserve"> </w:t>
      </w:r>
      <w:r>
        <w:rPr>
          <w:rStyle w:val="VerbatimChar"/>
        </w:rPr>
        <w:t xml:space="preserve">Stat</w:t>
      </w:r>
      <w:r>
        <w:t xml:space="preserve"> </w:t>
      </w:r>
      <w:r>
        <w:t xml:space="preserve">предусмотрена 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для подключения формы как пользовательской группы статистики.</w:t>
      </w:r>
    </w:p>
    <w:bookmarkStart w:id="23" w:name="что-входит-в-поставку"/>
    <w:p>
      <w:pPr>
        <w:pStyle w:val="Heading3"/>
      </w:pPr>
      <w:r>
        <w:t xml:space="preserve">1. Что входит в поставку</w:t>
      </w:r>
    </w:p>
    <w:p>
      <w:pPr>
        <w:pStyle w:val="FirstParagraph"/>
      </w:pPr>
      <w:r>
        <w:t xml:space="preserve">Для работы с формой используются:</w:t>
      </w:r>
    </w:p>
    <w:p>
      <w:pPr>
        <w:pStyle w:val="Compact"/>
        <w:numPr>
          <w:ilvl w:val="0"/>
          <w:numId w:val="1007"/>
        </w:numPr>
      </w:pPr>
      <w:r>
        <w:t xml:space="preserve">база данных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- хранит записи отчетных периодов и данные библиотеки или подразделения;</w:t>
      </w:r>
    </w:p>
    <w:p>
      <w:pPr>
        <w:pStyle w:val="Compact"/>
        <w:numPr>
          <w:ilvl w:val="0"/>
          <w:numId w:val="1007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KRST6NK</w:t>
      </w:r>
      <w:r>
        <w:t xml:space="preserve"> </w:t>
      </w:r>
      <w:r>
        <w:t xml:space="preserve">- используется для ввода статистики по краткой форме;</w:t>
      </w:r>
    </w:p>
    <w:p>
      <w:pPr>
        <w:pStyle w:val="Compact"/>
        <w:numPr>
          <w:ilvl w:val="0"/>
          <w:numId w:val="1007"/>
        </w:numPr>
      </w:pPr>
      <w:r>
        <w:t xml:space="preserve">печатная форма</w:t>
      </w:r>
      <w:r>
        <w:t xml:space="preserve"> </w:t>
      </w:r>
      <w:r>
        <w:rPr>
          <w:rStyle w:val="VerbatimChar"/>
        </w:rPr>
        <w:t xml:space="preserve">k6nk576p</w:t>
      </w:r>
      <w:r>
        <w:t xml:space="preserve"> </w:t>
      </w:r>
      <w:r>
        <w:t xml:space="preserve">- формирует краткую 6-НК;</w:t>
      </w:r>
    </w:p>
    <w:p>
      <w:pPr>
        <w:pStyle w:val="Compact"/>
        <w:numPr>
          <w:ilvl w:val="0"/>
          <w:numId w:val="1007"/>
        </w:numPr>
      </w:pPr>
      <w:r>
        <w:t xml:space="preserve">секционные форматы</w:t>
      </w:r>
      <w:r>
        <w:t xml:space="preserve"> </w:t>
      </w:r>
      <w:r>
        <w:rPr>
          <w:rStyle w:val="VerbatimChar"/>
        </w:rPr>
        <w:t xml:space="preserve">k6nk576_1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k6nk576_5</w:t>
      </w:r>
      <w:r>
        <w:t xml:space="preserve"> </w:t>
      </w:r>
      <w:r>
        <w:t xml:space="preserve">- показывают отдельные разделы формы;</w:t>
      </w:r>
    </w:p>
    <w:p>
      <w:pPr>
        <w:pStyle w:val="Compact"/>
        <w:numPr>
          <w:ilvl w:val="0"/>
          <w:numId w:val="1007"/>
        </w:numPr>
      </w:pPr>
      <w:r>
        <w:t xml:space="preserve">сценарий автозаполнения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- подставляет начальные поля для записи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FST-файлы</w:t>
      </w:r>
      <w:r>
        <w:t xml:space="preserve"> </w:t>
      </w:r>
      <w:r>
        <w:rPr>
          <w:rStyle w:val="VerbatimChar"/>
        </w:rPr>
        <w:t xml:space="preserve">rdr_6nk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event_6nk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lich_6nk</w:t>
      </w:r>
      <w:r>
        <w:t xml:space="preserve"> </w:t>
      </w:r>
      <w:r>
        <w:t xml:space="preserve">- подготавливают индексы для автоматического расчета показателей из читателей, комплектования, каталогов, мероприятий и книговыдачи.</w:t>
      </w:r>
    </w:p>
    <w:bookmarkEnd w:id="23"/>
    <w:bookmarkStart w:id="24" w:name="структура-записи"/>
    <w:p>
      <w:pPr>
        <w:pStyle w:val="Heading3"/>
      </w:pPr>
      <w:r>
        <w:t xml:space="preserve">2. Структура записи</w:t>
      </w:r>
    </w:p>
    <w:p>
      <w:pPr>
        <w:pStyle w:val="FirstParagraph"/>
      </w:pPr>
      <w:r>
        <w:t xml:space="preserve">В рабочем листе предусмотрены вкладки: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Общие сведения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1. Материально-техническая база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2. Формирование библиотечного фонда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3. Число пользователей и посещений библиотеки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4. Библиотечно-информационное обслуживание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5. Персонал библиотеки. Использование финансовых средств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Технология</w:t>
      </w:r>
      <w:r>
        <w:t xml:space="preserve">.</w:t>
      </w:r>
    </w:p>
    <w:p>
      <w:pPr>
        <w:pStyle w:val="FirstParagraph"/>
      </w:pPr>
      <w:r>
        <w:t xml:space="preserve">Минимально для новой записи указывают отчетный период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и сведения о библиотеке или подразделении 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 поле</w:t>
      </w:r>
      <w:r>
        <w:t xml:space="preserve"> </w:t>
      </w:r>
      <w:r>
        <w:rPr>
          <w:rStyle w:val="VerbatimChar"/>
        </w:rPr>
        <w:t xml:space="preserve">88^a</w:t>
      </w:r>
      <w:r>
        <w:t xml:space="preserve"> </w:t>
      </w:r>
      <w:r>
        <w:t xml:space="preserve">записывают год в формате</w:t>
      </w:r>
      <w:r>
        <w:t xml:space="preserve"> </w:t>
      </w:r>
      <w:r>
        <w:rPr>
          <w:rStyle w:val="VerbatimChar"/>
        </w:rPr>
        <w:t xml:space="preserve">ГГГГ</w:t>
      </w:r>
      <w:r>
        <w:t xml:space="preserve"> </w:t>
      </w:r>
      <w:r>
        <w:t xml:space="preserve">или месяц в формате</w:t>
      </w:r>
      <w:r>
        <w:t xml:space="preserve"> </w:t>
      </w:r>
      <w:r>
        <w:rPr>
          <w:rStyle w:val="VerbatimChar"/>
        </w:rPr>
        <w:t xml:space="preserve">ГГГГММ</w:t>
      </w:r>
      <w:r>
        <w:t xml:space="preserve">. Если сведения о библиотеке уже вводились в предыдущем периоде, можно использовать краткое имя из подполя</w:t>
      </w:r>
      <w:r>
        <w:t xml:space="preserve"> </w:t>
      </w:r>
      <w:r>
        <w:rPr>
          <w:rStyle w:val="VerbatimChar"/>
        </w:rPr>
        <w:t xml:space="preserve">20^r</w:t>
      </w:r>
      <w:r>
        <w:t xml:space="preserve">, чтобы выбрать их из словаря и не повторять вручную.</w:t>
      </w:r>
    </w:p>
    <w:bookmarkEnd w:id="24"/>
    <w:bookmarkStart w:id="25" w:name="подключение-в-модуле-stat"/>
    <w:p>
      <w:pPr>
        <w:pStyle w:val="Heading3"/>
      </w:pPr>
      <w:r>
        <w:t xml:space="preserve">3. Подключение в модуле Stat</w:t>
      </w:r>
    </w:p>
    <w:p>
      <w:pPr>
        <w:pStyle w:val="FirstParagraph"/>
      </w:pPr>
      <w:r>
        <w:t xml:space="preserve">Чтобы форма появилась на странице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добавьте пользовательскую группу статистики в настройках модуля</w:t>
      </w:r>
      <w:r>
        <w:t xml:space="preserve"> </w:t>
      </w:r>
      <w:r>
        <w:rPr>
          <w:rStyle w:val="VerbatimChar"/>
        </w:rPr>
        <w:t xml:space="preserve">Stat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настройки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Мнемоническое имя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Наименование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Форма 6-НК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Модуль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Имя функции со списком переменных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Form6NK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Дополнительные параметры</w:t>
            </w:r>
          </w:p>
        </w:tc>
        <w:tc>
          <w:tcPr/>
          <w:p>
            <w:pPr>
              <w:pStyle w:val="Compact"/>
            </w:pPr>
            <w:r>
              <w:t xml:space="preserve">оставить пустым, если не требуются локальные параметры</w:t>
            </w:r>
          </w:p>
        </w:tc>
      </w:tr>
    </w:tbl>
    <w:p>
      <w:pPr>
        <w:pStyle w:val="BodyText"/>
      </w:pPr>
      <w:r>
        <w:t xml:space="preserve">После сохранения настроек выполните действие</w:t>
      </w:r>
      <w:r>
        <w:t xml:space="preserve"> </w:t>
      </w:r>
      <w:r>
        <w:rPr>
          <w:rStyle w:val="VerbatimChar"/>
        </w:rPr>
        <w:t xml:space="preserve">Обновить конфигурацию</w:t>
      </w:r>
      <w:r>
        <w:t xml:space="preserve">. Оно перестраивает дерево статистики и сохраняет группу в служебных данных модуля. Затем откройте страницу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, выберите группу</w:t>
      </w:r>
      <w:r>
        <w:t xml:space="preserve"> </w:t>
      </w:r>
      <w:r>
        <w:rPr>
          <w:rStyle w:val="VerbatimChar"/>
        </w:rPr>
        <w:t xml:space="preserve">Форма 6-НК</w:t>
      </w:r>
      <w:r>
        <w:t xml:space="preserve">, задайте отчетный период и заполните доступные поля.</w:t>
      </w:r>
    </w:p>
    <w:p>
      <w:pPr>
        <w:pStyle w:val="BodyText"/>
      </w:pPr>
      <w:r>
        <w:t xml:space="preserve">Если группа не настроена или конфигурация не обновлена, страница статистики откроется без узла 6-НК. В этом случае сначала проверьте значения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и повторите обновление конфигурации.</w:t>
      </w:r>
    </w:p>
    <w:bookmarkEnd w:id="25"/>
    <w:bookmarkStart w:id="26" w:name="автозаполнение-показателей"/>
    <w:p>
      <w:pPr>
        <w:pStyle w:val="Heading3"/>
      </w:pPr>
      <w:r>
        <w:t xml:space="preserve">4. Автозаполнение показателей</w:t>
      </w:r>
    </w:p>
    <w:p>
      <w:pPr>
        <w:pStyle w:val="FirstParagraph"/>
      </w:pPr>
      <w:r>
        <w:t xml:space="preserve">Часть показателей можно заполнить из действующих баз данных: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- пользователи, перерегистрация, посещения, удаленные пользователи и возрастные группы;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CMPL</w:t>
      </w:r>
      <w:r>
        <w:t xml:space="preserve"> </w:t>
      </w:r>
      <w:r>
        <w:t xml:space="preserve">- данные комплектования и КСУ, если в комплектовании ведутся данные для 6-НК;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IBIS</w:t>
      </w:r>
      <w:r>
        <w:t xml:space="preserve"> </w:t>
      </w:r>
      <w:r>
        <w:t xml:space="preserve">и другие каталоги по образу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- фонд, поступления и списания;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- библиотечные мероприятия;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LICH</w:t>
      </w:r>
      <w:r>
        <w:t xml:space="preserve"> </w:t>
      </w:r>
      <w:r>
        <w:t xml:space="preserve">- книговыдача.</w:t>
      </w:r>
    </w:p>
    <w:p>
      <w:pPr>
        <w:pStyle w:val="FirstParagraph"/>
      </w:pPr>
      <w:r>
        <w:t xml:space="preserve">После сохранения записи могут быть доступны оперативные режимы заполнения разделов. Режимы предлагают выбрать, какие поля заполнить автоматически. По умолчанию выбираются все поддерживаемые поля раздела; поле можно исключить из заполнения, если его нужно вести вручную или сохранить уже введенное значение.</w:t>
      </w:r>
    </w:p>
    <w:bookmarkEnd w:id="26"/>
    <w:bookmarkStart w:id="27" w:name="ограничения"/>
    <w:p>
      <w:pPr>
        <w:pStyle w:val="Heading3"/>
      </w:pPr>
      <w:r>
        <w:t xml:space="preserve">5. Ограничения</w:t>
      </w:r>
    </w:p>
    <w:p>
      <w:pPr>
        <w:pStyle w:val="FirstParagraph"/>
      </w:pPr>
      <w:r>
        <w:t xml:space="preserve">Автоматический расчет зависит от фактического состава и индексации рабочих баз. Для каталогов нужны корректные даты поступления, данные КСУ и списания. Для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режим доступен только при наличии данных 6-НК в комплектовании. Показатели материально-технической базы, персонала и финансов, которые не выводятся из учетных баз, заполняются вручную.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 </w:t>
      </w:r>
      <w:r>
        <w:t xml:space="preserve">в модуле статистики описывает набор пользовательских переменных для формы. База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рабочий лист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 </w:t>
      </w:r>
      <w:r>
        <w:t xml:space="preserve">остаются основным местом хранения записей отчетных периодов и подготовки печатной краткой формы 6-НК.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Queue/Help/AdminGuide/Monitoring" TargetMode="External" /><Relationship Type="http://schemas.openxmlformats.org/officeDocument/2006/relationships/hyperlink" Id="rId19" Target="?id=Help/Show&amp;m=Stat/Help/Form6NK" TargetMode="External" /><Relationship Type="http://schemas.openxmlformats.org/officeDocument/2006/relationships/hyperlink" Id="rId11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</dc:title>
  <dc:creator/>
  <cp:keywords/>
  <dcterms:created xsi:type="dcterms:W3CDTF">2026-09-03T21:20:17Z</dcterms:created>
  <dcterms:modified xsi:type="dcterms:W3CDTF">2026-09-03T21:20:17Z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