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Настройка режима поступления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5" w:name="настройка-режима-поступления"/>
    <w:p>
      <w:pPr>
        <w:pStyle w:val="Heading1"/>
      </w:pPr>
      <w:r>
        <w:t xml:space="preserve">Настройка режима поступления</w:t>
      </w:r>
    </w:p>
    <w:p>
      <w:pPr>
        <w:pStyle w:val="FirstParagraph"/>
      </w:pPr>
      <w:r>
        <w:t xml:space="preserve">Определяет параметры поиска и пополнения для КСУ поступления.</w:t>
      </w:r>
    </w:p>
    <w:bookmarkStart w:id="9" w:name="Xf6b30bcd14b9fcd69aae075d8e482ca7a472b1d"/>
    <w:p>
      <w:pPr>
        <w:pStyle w:val="Heading2"/>
      </w:pPr>
      <w:r>
        <w:t xml:space="preserve">1. Префикс для поиска записей КСУ поступления в БД CMPL (</w:t>
      </w:r>
      <w:r>
        <w:rPr>
          <w:rStyle w:val="VerbatimChar"/>
        </w:rPr>
        <w:t xml:space="preserve">PrefKsuCmpl</w:t>
      </w:r>
      <w:r>
        <w:t xml:space="preserve">)</w:t>
      </w:r>
    </w:p>
    <w:p>
      <w:pPr>
        <w:pStyle w:val="FirstParagraph"/>
      </w:pPr>
      <w:r>
        <w:t xml:space="preserve">Префикс для отбора записей КСУ поступлений в базе комплектования.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Влияет на:</w:t>
      </w:r>
    </w:p>
    <w:p>
      <w:pPr>
        <w:pStyle w:val="Compact"/>
        <w:numPr>
          <w:ilvl w:val="1"/>
          <w:numId w:val="1002"/>
        </w:numPr>
      </w:pPr>
      <w:r>
        <w:t xml:space="preserve">Экшен</w:t>
      </w:r>
      <w:r>
        <w:t xml:space="preserve"> </w:t>
      </w:r>
      <w:r>
        <w:rPr>
          <w:rStyle w:val="VerbatimChar"/>
        </w:rPr>
        <w:t xml:space="preserve">FillUpKsu</w:t>
      </w:r>
      <w:r>
        <w:t xml:space="preserve"> </w:t>
      </w:r>
      <w:r>
        <w:t xml:space="preserve">— используется при пополнении итоговой КСУ на дату (</w:t>
      </w:r>
      <w:r>
        <w:rPr>
          <w:rStyle w:val="VerbatimChar"/>
        </w:rPr>
        <w:t xml:space="preserve">KSI</w:t>
      </w:r>
      <w:r>
        <w:t xml:space="preserve">) и за период (</w:t>
      </w:r>
      <w:r>
        <w:rPr>
          <w:rStyle w:val="VerbatimChar"/>
        </w:rPr>
        <w:t xml:space="preserve">KSFP</w:t>
      </w:r>
      <w:r>
        <w:t xml:space="preserve">), для подсчета суммарных значений.</w:t>
      </w:r>
    </w:p>
    <w:p>
      <w:pPr>
        <w:pStyle w:val="Compact"/>
        <w:numPr>
          <w:ilvl w:val="1"/>
          <w:numId w:val="1002"/>
        </w:numPr>
      </w:pPr>
      <w:r>
        <w:t xml:space="preserve">Экшен</w:t>
      </w:r>
      <w:r>
        <w:t xml:space="preserve"> </w:t>
      </w:r>
      <w:r>
        <w:rPr>
          <w:rStyle w:val="VerbatimChar"/>
        </w:rPr>
        <w:t xml:space="preserve">KsuToBook</w:t>
      </w:r>
      <w:r>
        <w:t xml:space="preserve"> </w:t>
      </w:r>
      <w:r>
        <w:t xml:space="preserve">— поиск и отображение связанных записей КСУ поступления (переход по связи).</w:t>
      </w:r>
    </w:p>
    <w:bookmarkEnd w:id="9"/>
    <w:bookmarkStart w:id="10" w:name="X92efbfc830dce20024b52710270eeb64ae44783"/>
    <w:p>
      <w:pPr>
        <w:pStyle w:val="Heading2"/>
      </w:pPr>
      <w:r>
        <w:t xml:space="preserve">2. Префикс для поиска записей из CMPL соответствующих заданному КСУ поступления (</w:t>
      </w:r>
      <w:r>
        <w:rPr>
          <w:rStyle w:val="VerbatimChar"/>
        </w:rPr>
        <w:t xml:space="preserve">PrefKsuP</w:t>
      </w:r>
      <w:r>
        <w:t xml:space="preserve">)</w:t>
      </w:r>
    </w:p>
    <w:p>
      <w:pPr>
        <w:pStyle w:val="FirstParagraph"/>
      </w:pPr>
      <w:r>
        <w:t xml:space="preserve">Префикс для поиска отдельных поступлений в базе комплектования.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Влияет на:</w:t>
      </w:r>
    </w:p>
    <w:p>
      <w:pPr>
        <w:pStyle w:val="Compact"/>
        <w:numPr>
          <w:ilvl w:val="1"/>
          <w:numId w:val="1004"/>
        </w:numPr>
      </w:pPr>
      <w:r>
        <w:t xml:space="preserve">Экшен</w:t>
      </w:r>
      <w:r>
        <w:t xml:space="preserve"> </w:t>
      </w:r>
      <w:r>
        <w:rPr>
          <w:rStyle w:val="VerbatimChar"/>
        </w:rPr>
        <w:t xml:space="preserve">FillUpKsu</w:t>
      </w:r>
      <w:r>
        <w:t xml:space="preserve"> </w:t>
      </w:r>
      <w:r>
        <w:t xml:space="preserve">— для поиска записей, связанных с КСУ поступления (тип</w:t>
      </w:r>
      <w:r>
        <w:t xml:space="preserve"> </w:t>
      </w:r>
      <w:r>
        <w:rPr>
          <w:rStyle w:val="VerbatimChar"/>
        </w:rPr>
        <w:t xml:space="preserve">KSU</w:t>
      </w:r>
      <w:r>
        <w:t xml:space="preserve">), если обновление идет в БД CMPL.</w:t>
      </w:r>
    </w:p>
    <w:p>
      <w:pPr>
        <w:pStyle w:val="Compact"/>
        <w:numPr>
          <w:ilvl w:val="1"/>
          <w:numId w:val="1004"/>
        </w:numPr>
      </w:pPr>
      <w:r>
        <w:t xml:space="preserve">Экшен</w:t>
      </w:r>
      <w:r>
        <w:t xml:space="preserve"> </w:t>
      </w:r>
      <w:r>
        <w:rPr>
          <w:rStyle w:val="VerbatimChar"/>
        </w:rPr>
        <w:t xml:space="preserve">KsuToBook</w:t>
      </w:r>
      <w:r>
        <w:t xml:space="preserve"> </w:t>
      </w:r>
      <w:r>
        <w:t xml:space="preserve">— формирование поискового запроса для связи, если выбрана БД CMPL.</w:t>
      </w:r>
    </w:p>
    <w:bookmarkEnd w:id="10"/>
    <w:bookmarkStart w:id="11" w:name="Xac46c469567e0fe160f95d0ab73b326d2000b2c"/>
    <w:p>
      <w:pPr>
        <w:pStyle w:val="Heading2"/>
      </w:pPr>
      <w:r>
        <w:t xml:space="preserve">3. Префикс для поиска записей из ЭК соответствующих заданному КСУ поступления (</w:t>
      </w:r>
      <w:r>
        <w:rPr>
          <w:rStyle w:val="VerbatimChar"/>
        </w:rPr>
        <w:t xml:space="preserve">PrefKsuCat</w:t>
      </w:r>
      <w:r>
        <w:t xml:space="preserve">)</w:t>
      </w:r>
    </w:p>
    <w:p>
      <w:pPr>
        <w:pStyle w:val="FirstParagraph"/>
      </w:pPr>
      <w:r>
        <w:t xml:space="preserve">Префикс для поиска записей в электронном каталоге, привязанных к КСУ поступления.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Влияет на:</w:t>
      </w:r>
    </w:p>
    <w:p>
      <w:pPr>
        <w:pStyle w:val="Compact"/>
        <w:numPr>
          <w:ilvl w:val="1"/>
          <w:numId w:val="1006"/>
        </w:numPr>
      </w:pPr>
      <w:r>
        <w:t xml:space="preserve">Экшен</w:t>
      </w:r>
      <w:r>
        <w:t xml:space="preserve"> </w:t>
      </w:r>
      <w:r>
        <w:rPr>
          <w:rStyle w:val="VerbatimChar"/>
        </w:rPr>
        <w:t xml:space="preserve">FillUpKsu</w:t>
      </w:r>
      <w:r>
        <w:t xml:space="preserve"> </w:t>
      </w:r>
      <w:r>
        <w:t xml:space="preserve">— для поиска экземпляров поступления (тип</w:t>
      </w:r>
      <w:r>
        <w:t xml:space="preserve"> </w:t>
      </w:r>
      <w:r>
        <w:rPr>
          <w:rStyle w:val="VerbatimChar"/>
        </w:rPr>
        <w:t xml:space="preserve">KSU</w:t>
      </w:r>
      <w:r>
        <w:t xml:space="preserve">) в БД электронного каталога при пересчете КСУ.</w:t>
      </w:r>
    </w:p>
    <w:p>
      <w:pPr>
        <w:pStyle w:val="Compact"/>
        <w:numPr>
          <w:ilvl w:val="1"/>
          <w:numId w:val="1006"/>
        </w:numPr>
      </w:pPr>
      <w:r>
        <w:t xml:space="preserve">Экшен</w:t>
      </w:r>
      <w:r>
        <w:t xml:space="preserve"> </w:t>
      </w:r>
      <w:r>
        <w:rPr>
          <w:rStyle w:val="VerbatimChar"/>
        </w:rPr>
        <w:t xml:space="preserve">KsuToBook</w:t>
      </w:r>
      <w:r>
        <w:t xml:space="preserve"> </w:t>
      </w:r>
      <w:r>
        <w:t xml:space="preserve">— переход по связи из записи КСУ к библиографическим записям в электронном каталоге.</w:t>
      </w:r>
    </w:p>
    <w:bookmarkEnd w:id="11"/>
    <w:bookmarkStart w:id="12" w:name="Xac4452239e92b948b2c3ff1cd376e9747ed1332"/>
    <w:p>
      <w:pPr>
        <w:pStyle w:val="Heading2"/>
      </w:pPr>
      <w:r>
        <w:t xml:space="preserve">4. Таблица при пополнении записи КСУ поступления (</w:t>
      </w:r>
      <w:r>
        <w:rPr>
          <w:rStyle w:val="VerbatimChar"/>
        </w:rPr>
        <w:t xml:space="preserve">KsuFst1</w:t>
      </w:r>
      <w:r>
        <w:t xml:space="preserve">)</w:t>
      </w:r>
    </w:p>
    <w:p>
      <w:pPr>
        <w:pStyle w:val="FirstParagraph"/>
      </w:pPr>
      <w:r>
        <w:t xml:space="preserve">Имя FST-файла с алгоритмами для пополнения записи КСУ поступления.</w:t>
      </w:r>
    </w:p>
    <w:p>
      <w:pPr>
        <w:pStyle w:val="Compact"/>
        <w:numPr>
          <w:ilvl w:val="0"/>
          <w:numId w:val="1007"/>
        </w:numPr>
      </w:pPr>
      <w:r>
        <w:rPr>
          <w:b/>
          <w:bCs/>
        </w:rPr>
        <w:t xml:space="preserve">Влияет на:</w:t>
      </w:r>
      <w:r>
        <w:t xml:space="preserve"> </w:t>
      </w:r>
      <w:r>
        <w:t xml:space="preserve">Экшен</w:t>
      </w:r>
      <w:r>
        <w:t xml:space="preserve"> </w:t>
      </w:r>
      <w:r>
        <w:rPr>
          <w:rStyle w:val="VerbatimChar"/>
        </w:rPr>
        <w:t xml:space="preserve">FillUpKsu</w:t>
      </w:r>
      <w:r>
        <w:t xml:space="preserve"> </w:t>
      </w:r>
      <w:r>
        <w:t xml:space="preserve">— применяется к записям типа</w:t>
      </w:r>
      <w:r>
        <w:t xml:space="preserve"> </w:t>
      </w:r>
      <w:r>
        <w:rPr>
          <w:rStyle w:val="VerbatimChar"/>
        </w:rPr>
        <w:t xml:space="preserve">KSU</w:t>
      </w:r>
      <w:r>
        <w:t xml:space="preserve"> </w:t>
      </w:r>
      <w:r>
        <w:t xml:space="preserve">для подсчета сумм, количеств и других показателей.</w:t>
      </w:r>
    </w:p>
    <w:bookmarkEnd w:id="12"/>
    <w:bookmarkStart w:id="13" w:name="X0b7d1f4f60901149711945a078c039ace037596"/>
    <w:p>
      <w:pPr>
        <w:pStyle w:val="Heading2"/>
      </w:pPr>
      <w:r>
        <w:t xml:space="preserve">5. Имя списка табличных форм в режиме поступления БД CMPL (</w:t>
      </w:r>
      <w:r>
        <w:rPr>
          <w:rStyle w:val="VerbatimChar"/>
        </w:rPr>
        <w:t xml:space="preserve">TabMnuForR</w:t>
      </w:r>
      <w:r>
        <w:t xml:space="preserve">)</w:t>
      </w:r>
    </w:p>
    <w:p>
      <w:pPr>
        <w:pStyle w:val="FirstParagraph"/>
      </w:pPr>
      <w:r>
        <w:t xml:space="preserve">Имя справочника (например,</w:t>
      </w:r>
      <w:r>
        <w:t xml:space="preserve"> </w:t>
      </w:r>
      <w:r>
        <w:rPr>
          <w:rStyle w:val="VerbatimChar"/>
        </w:rPr>
        <w:t xml:space="preserve">tabprw.mnu</w:t>
      </w:r>
      <w:r>
        <w:t xml:space="preserve">), содержащего список печатных форм поступлений.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Влияет на:</w:t>
      </w:r>
      <w:r>
        <w:t xml:space="preserve"> </w:t>
      </w:r>
      <w:r>
        <w:t xml:space="preserve">Экшен</w:t>
      </w:r>
      <w:r>
        <w:t xml:space="preserve"> </w:t>
      </w:r>
      <w:r>
        <w:rPr>
          <w:rStyle w:val="VerbatimChar"/>
        </w:rPr>
        <w:t xml:space="preserve">GetPrintWindow</w:t>
      </w:r>
      <w:r>
        <w:t xml:space="preserve"> </w:t>
      </w:r>
      <w:r>
        <w:t xml:space="preserve">— формирование списка выходных форм в узле</w:t>
      </w:r>
      <w:r>
        <w:t xml:space="preserve"> </w:t>
      </w:r>
      <w:r>
        <w:t xml:space="preserve">“Поступление”</w:t>
      </w:r>
      <w:r>
        <w:t xml:space="preserve">, когда выбрана база CMPL.</w:t>
      </w:r>
    </w:p>
    <w:bookmarkEnd w:id="13"/>
    <w:bookmarkStart w:id="14" w:name="X6d20bb25ca3e9a5f96ada9e85ee1552949dfe73"/>
    <w:p>
      <w:pPr>
        <w:pStyle w:val="Heading2"/>
      </w:pPr>
      <w:r>
        <w:t xml:space="preserve">6. Имя списка табличных форм в режиме поступления для БД каталога (</w:t>
      </w:r>
      <w:r>
        <w:rPr>
          <w:rStyle w:val="VerbatimChar"/>
        </w:rPr>
        <w:t xml:space="preserve">TabMnuForCat</w:t>
      </w:r>
      <w:r>
        <w:t xml:space="preserve">)</w:t>
      </w:r>
    </w:p>
    <w:p>
      <w:pPr>
        <w:pStyle w:val="FirstParagraph"/>
      </w:pPr>
      <w:r>
        <w:t xml:space="preserve">Имя справочника (например,</w:t>
      </w:r>
      <w:r>
        <w:t xml:space="preserve"> </w:t>
      </w:r>
      <w:r>
        <w:rPr>
          <w:rStyle w:val="VerbatimChar"/>
        </w:rPr>
        <w:t xml:space="preserve">tabpw.mnu</w:t>
      </w:r>
      <w:r>
        <w:t xml:space="preserve">), содержащего список печатных форм для электронного каталога.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Влияет на:</w:t>
      </w:r>
      <w:r>
        <w:t xml:space="preserve"> </w:t>
      </w:r>
      <w:r>
        <w:t xml:space="preserve">Экшен</w:t>
      </w:r>
      <w:r>
        <w:t xml:space="preserve"> </w:t>
      </w:r>
      <w:r>
        <w:rPr>
          <w:rStyle w:val="VerbatimChar"/>
        </w:rPr>
        <w:t xml:space="preserve">GetPrintWindow</w:t>
      </w:r>
      <w:r>
        <w:t xml:space="preserve"> </w:t>
      </w:r>
      <w:r>
        <w:t xml:space="preserve">— формирование списка выходных форм в узле</w:t>
      </w:r>
      <w:r>
        <w:t xml:space="preserve"> </w:t>
      </w:r>
      <w:r>
        <w:t xml:space="preserve">“Поступление”</w:t>
      </w:r>
      <w:r>
        <w:t xml:space="preserve">, когда выбрана база отличная от CMPL.</w:t>
      </w:r>
    </w:p>
    <w:bookmarkEnd w:id="14"/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Настройка режима поступления</dc:title>
  <dc:creator/>
  <cp:keywords/>
  <dcterms:created xsi:type="dcterms:W3CDTF">2026-09-04T18:10:19Z</dcterms:created>
  <dcterms:modified xsi:type="dcterms:W3CDTF">2026-09-04T18:10:19Z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