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Битрикс24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битрикс24"/>
    <w:p>
      <w:pPr>
        <w:pStyle w:val="Heading1"/>
      </w:pPr>
      <w:r>
        <w:t xml:space="preserve">Битрикс24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предоставляет внешний JSON-RPC интерфейс к функциям</w:t>
      </w:r>
      <w:r>
        <w:t xml:space="preserve"> </w:t>
      </w:r>
      <w:r>
        <w:t xml:space="preserve">ИРБИС 128, которые нужны при интеграции с Битрикс24 и другими внешними</w:t>
      </w:r>
      <w:r>
        <w:t xml:space="preserve"> </w:t>
      </w:r>
      <w:r>
        <w:t xml:space="preserve">системами: учетные записи читателей, формуляр, заказы, продление выдачи,</w:t>
      </w:r>
      <w:r>
        <w:t xml:space="preserve"> </w:t>
      </w:r>
      <w:r>
        <w:t xml:space="preserve">сведения об экземплярах, поиск и форматирование записей.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Bitrix24</w:t>
      </w:r>
      <w:r>
        <w:t xml:space="preserve"> </w:t>
      </w:r>
      <w:r>
        <w:t xml:space="preserve">- объектный интеграционный модуль для доступа к функциям</w:t>
      </w:r>
      <w:r>
        <w:t xml:space="preserve"> </w:t>
      </w:r>
      <w:r>
        <w:t xml:space="preserve">ИРБИС 128 из внешней среды через JSON-RPC 2.0. Модуль регистрирует серверный</w:t>
      </w:r>
      <w:r>
        <w:t xml:space="preserve"> </w:t>
      </w:r>
      <w:r>
        <w:t xml:space="preserve">объект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; методы этого объекта являются публичными</w:t>
      </w:r>
      <w:r>
        <w:t xml:space="preserve"> </w:t>
      </w:r>
      <w:r>
        <w:t xml:space="preserve">JSON-RPC методами и делегируют выполнение профильным модулям системы: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bookmarkStart w:id="9" w:name="основные-направления-интеграции"/>
    <w:p>
      <w:pPr>
        <w:pStyle w:val="Heading3"/>
      </w:pPr>
      <w:r>
        <w:t xml:space="preserve">1. Основные направления интеграции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Направление</w:t>
            </w:r>
          </w:p>
        </w:tc>
        <w:tc>
          <w:tcPr/>
          <w:p>
            <w:pPr>
              <w:pStyle w:val="Compact"/>
            </w:pPr>
            <w:r>
              <w:t xml:space="preserve">Методы JSON-RPC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Учетные записи пользователей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UpdateUser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DelUser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Формуляр читателя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Заказы на издания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GetOrders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Продление выдачи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Экземпляры библиографической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справочники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</w:tr>
    </w:tbl>
    <w:bookmarkEnd w:id="9"/>
    <w:bookmarkStart w:id="10" w:name="когда-использовать-модуль"/>
    <w:p>
      <w:pPr>
        <w:pStyle w:val="Heading3"/>
      </w:pPr>
      <w:r>
        <w:t xml:space="preserve">2. Когда использовать модуль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, когда внешней системе нужно работать с читательскими</w:t>
      </w:r>
      <w:r>
        <w:t xml:space="preserve"> </w:t>
      </w:r>
      <w:r>
        <w:t xml:space="preserve">данными и заказами через единый HTTP-интерфейс без прямого подключения к БД</w:t>
      </w:r>
      <w:r>
        <w:t xml:space="preserve"> </w:t>
      </w:r>
      <w:r>
        <w:t xml:space="preserve">ИРБИС. Внешний клиент передает JSON-RPC запросы на endpoint модуля, а сервер</w:t>
      </w:r>
      <w:r>
        <w:t xml:space="preserve"> </w:t>
      </w:r>
      <w:r>
        <w:t xml:space="preserve">ИРБИС 128 выполняет операции в тех БД и модулях, которые настроены в текущей</w:t>
      </w:r>
      <w:r>
        <w:t xml:space="preserve"> </w:t>
      </w:r>
      <w:r>
        <w:t xml:space="preserve">инсталляции.</w:t>
      </w:r>
    </w:p>
    <w:p>
      <w:pPr>
        <w:pStyle w:val="BodyText"/>
      </w:pPr>
      <w:r>
        <w:t xml:space="preserve">Модуль не заменяет пользовательский интерфейс ИРБИС 128. Он предназначен для</w:t>
      </w:r>
      <w:r>
        <w:t xml:space="preserve"> </w:t>
      </w:r>
      <w:r>
        <w:t xml:space="preserve">серверной интеграции: вебхуки, фоновые обмены, витрины личного кабинета,</w:t>
      </w:r>
      <w:r>
        <w:t xml:space="preserve"> </w:t>
      </w:r>
      <w:r>
        <w:t xml:space="preserve">внешние CRM-формы и другие приложения, которым нужен машинный ответ в JSON.</w:t>
      </w:r>
    </w:p>
    <w:bookmarkEnd w:id="10"/>
    <w:bookmarkStart w:id="11" w:name="состав-модуля"/>
    <w:p>
      <w:pPr>
        <w:pStyle w:val="Heading3"/>
      </w:pPr>
      <w:r>
        <w:t xml:space="preserve">3. Состав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__call/GetJsonRPCServer.inc</w:t>
            </w:r>
          </w:p>
        </w:tc>
        <w:tc>
          <w:tcPr/>
          <w:p>
            <w:pPr>
              <w:pStyle w:val="Compact"/>
            </w:pPr>
            <w:r>
              <w:t xml:space="preserve">Создает JSON-RPC сервер и описывает доступные интеграционные функции.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Pages/Test.page</w:t>
            </w:r>
          </w:p>
        </w:tc>
        <w:tc>
          <w:tcPr/>
          <w:p>
            <w:pPr>
              <w:pStyle w:val="Compact"/>
            </w:pPr>
            <w:r>
              <w:t xml:space="preserve">Служебная страница проверки вызовов JSON-RPC и прозрачной авторизации.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Formats/recdata.pft128</w:t>
            </w:r>
          </w:p>
        </w:tc>
        <w:tc>
          <w:tcPr/>
          <w:p>
            <w:pPr>
              <w:pStyle w:val="Compact"/>
            </w:pPr>
            <w:r>
              <w:t xml:space="preserve">Возвращает JSON с содержимым записи, кратким описанием, полным форматом и MFN.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api.php</w:t>
            </w:r>
          </w:p>
        </w:tc>
        <w:tc>
          <w:tcPr/>
          <w:p>
            <w:pPr>
              <w:pStyle w:val="Compact"/>
            </w:pPr>
            <w:r>
              <w:t xml:space="preserve">Настраивает объектный модуль</w:t>
            </w:r>
            <w:r>
              <w:t xml:space="preserve"> </w:t>
            </w:r>
            <w:r>
              <w:rPr>
                <w:rStyle w:val="VerbatimChar"/>
              </w:rPr>
              <w:t xml:space="preserve">Bitrix24</w:t>
            </w:r>
            <w:r>
              <w:t xml:space="preserve">, тип записи и список зарегистрированных RPC-методов.</w:t>
            </w:r>
          </w:p>
        </w:tc>
      </w:tr>
    </w:tbl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FirstParagraph"/>
      </w:pPr>
      <w:r>
        <w:t xml:space="preserve">Доступность методов зависит от настроек модулей, БД читателей, БД заказов,</w:t>
      </w:r>
      <w:r>
        <w:t xml:space="preserve"> </w:t>
      </w:r>
      <w:r>
        <w:t xml:space="preserve">каталогов, прав текущего сайта и доступности внешних сервисов авторизации.</w:t>
      </w:r>
      <w:r>
        <w:t xml:space="preserve"> </w:t>
      </w:r>
      <w:r>
        <w:t xml:space="preserve">Методы возвращают данные в структуре ИРБИС 128: массивы полей записей,</w:t>
      </w:r>
      <w:r>
        <w:t xml:space="preserve"> </w:t>
      </w:r>
      <w:r>
        <w:t xml:space="preserve">идентификаторы БД, шифры записей, даты в форматах, которые использует</w:t>
      </w:r>
      <w:r>
        <w:t xml:space="preserve"> </w:t>
      </w:r>
      <w:r>
        <w:t xml:space="preserve">соответствующий модуль.</w:t>
      </w:r>
    </w:p>
    <w:p>
      <w:pPr>
        <w:pStyle w:val="BodyText"/>
      </w:pPr>
      <w:r>
        <w:t xml:space="preserve">Служебная страница</w:t>
      </w:r>
      <w:r>
        <w:t xml:space="preserve"> </w:t>
      </w:r>
      <w:r>
        <w:rPr>
          <w:rStyle w:val="VerbatimChar"/>
        </w:rPr>
        <w:t xml:space="preserve">?id=Bitrix24/Test</w:t>
      </w:r>
      <w:r>
        <w:t xml:space="preserve"> </w:t>
      </w:r>
      <w:r>
        <w:t xml:space="preserve">содержит фиксированные параметры стенда</w:t>
      </w:r>
      <w:r>
        <w:t xml:space="preserve"> </w:t>
      </w:r>
      <w:r>
        <w:t xml:space="preserve">и предназначена для проверки интеграции разработчиком или администратором, а</w:t>
      </w:r>
      <w:r>
        <w:t xml:space="preserve"> </w:t>
      </w:r>
      <w:r>
        <w:t xml:space="preserve">не для пользовательской работы. При изменении набора RPC-методов нужно</w:t>
      </w:r>
      <w:r>
        <w:t xml:space="preserve"> </w:t>
      </w:r>
      <w:r>
        <w:t xml:space="preserve">синхронно обновлять список</w:t>
      </w:r>
      <w:r>
        <w:t xml:space="preserve"> </w:t>
      </w:r>
      <w:r>
        <w:rPr>
          <w:rStyle w:val="VerbatimChar"/>
        </w:rPr>
        <w:t xml:space="preserve">_registeredRPC</w:t>
      </w:r>
      <w:r>
        <w:t xml:space="preserve">, реализацию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 </w:t>
      </w:r>
      <w:r>
        <w:t xml:space="preserve">и Help-описание.</w:t>
      </w:r>
    </w:p>
    <w:bookmarkEnd w:id="12"/>
    <w:bookmarkEnd w:id="13"/>
    <w:bookmarkStart w:id="17" w:name="endpoint-и-формат-обмена"/>
    <w:p>
      <w:pPr>
        <w:pStyle w:val="Heading2"/>
      </w:pPr>
      <w:r>
        <w:t xml:space="preserve">Endpoint и формат обмена</w:t>
      </w:r>
    </w:p>
    <w:p>
      <w:pPr>
        <w:pStyle w:val="FirstParagraph"/>
      </w:pPr>
      <w:r>
        <w:t xml:space="preserve">JSON-RPC сервер модуля доступен через входную точку:</w:t>
      </w:r>
    </w:p>
    <w:p>
      <w:pPr>
        <w:pStyle w:val="SourceCode"/>
      </w:pPr>
      <w:r>
        <w:rPr>
          <w:rStyle w:val="VerbatimChar"/>
        </w:rPr>
        <w:t xml:space="preserve">POST /JSONRPC.php?i128Module=Bitrix24</w:t>
      </w:r>
    </w:p>
    <w:p>
      <w:pPr>
        <w:pStyle w:val="FirstParagraph"/>
      </w:pPr>
      <w:r>
        <w:t xml:space="preserve">Тело запроса должно быть JSON-RPC 2.0 объектом или массивом объектов для</w:t>
      </w:r>
      <w:r>
        <w:t xml:space="preserve"> </w:t>
      </w:r>
      <w:r>
        <w:t xml:space="preserve">batch-вызова. Для обычного вызова указываются поля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</w:t>
      </w:r>
      <w:r>
        <w:t xml:space="preserve"> </w:t>
      </w:r>
      <w:r>
        <w:rPr>
          <w:rStyle w:val="VerbatimChar"/>
        </w:rPr>
        <w:t xml:space="preserve">method</w:t>
      </w:r>
      <w:r>
        <w:t xml:space="preserve">,</w:t>
      </w:r>
      <w:r>
        <w:t xml:space="preserve"> </w:t>
      </w:r>
      <w:r>
        <w:rPr>
          <w:rStyle w:val="VerbatimChar"/>
        </w:rPr>
        <w:t xml:space="preserve">params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содержит</w:t>
      </w:r>
      <w:r>
        <w:t xml:space="preserve"> </w:t>
      </w:r>
      <w:r>
        <w:rPr>
          <w:rStyle w:val="VerbatimChar"/>
        </w:rPr>
        <w:t xml:space="preserve">result</w:t>
      </w:r>
      <w:r>
        <w:t xml:space="preserve"> </w:t>
      </w:r>
      <w:r>
        <w:t xml:space="preserve">при успешном выполнении или</w:t>
      </w:r>
      <w:r>
        <w:t xml:space="preserve"> </w:t>
      </w:r>
      <w:r>
        <w:rPr>
          <w:rStyle w:val="VerbatimChar"/>
        </w:rPr>
        <w:t xml:space="preserve">error</w:t>
      </w:r>
      <w:r>
        <w:t xml:space="preserve"> </w:t>
      </w:r>
      <w:r>
        <w:t xml:space="preserve">при ошибке.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"result"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FunctionTok"/>
        </w:rPr>
        <w:t xml:space="preserve">}</w:t>
      </w:r>
    </w:p>
    <w:bookmarkStart w:id="14" w:name="правила-вызова"/>
    <w:p>
      <w:pPr>
        <w:pStyle w:val="Heading3"/>
      </w:pPr>
      <w:r>
        <w:t xml:space="preserve">1. Правила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Правило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Метод HTTP</w:t>
            </w:r>
          </w:p>
        </w:tc>
        <w:tc>
          <w:tcPr/>
          <w:p>
            <w:pPr>
              <w:pStyle w:val="Compact"/>
            </w:pPr>
            <w:r>
              <w:t xml:space="preserve">Сервер принимает только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 </w:t>
            </w:r>
            <w:r>
              <w:t xml:space="preserve">для обычных JSON-RPC вызовов.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Тип тела</w:t>
            </w:r>
          </w:p>
        </w:tc>
        <w:tc>
          <w:tcPr/>
          <w:p>
            <w:pPr>
              <w:pStyle w:val="Compact"/>
            </w:pPr>
            <w:r>
              <w:t xml:space="preserve">JSON-объект JSON-RPC 2.0 или массив объектов для batch-вызова.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Если поле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 </w:t>
            </w:r>
            <w:r>
              <w:t xml:space="preserve">не передано, вызов считается notification и ответ не возвращается.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можно передавать позиционным массивом или объектом с именованными параметрами.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Именованные параметры</w:t>
            </w:r>
          </w:p>
        </w:tc>
        <w:tc>
          <w:tcPr/>
          <w:p>
            <w:pPr>
              <w:pStyle w:val="Compact"/>
            </w:pPr>
            <w:r>
              <w:t xml:space="preserve">При объекте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значения сопоставляются с именами параметров PHP-метода.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Batch</w:t>
            </w:r>
          </w:p>
        </w:tc>
        <w:tc>
          <w:tcPr/>
          <w:p>
            <w:pPr>
              <w:pStyle w:val="Compact"/>
            </w:pPr>
            <w:r>
              <w:t xml:space="preserve">Если тело запроса - массив, сервер выполнит каждый вызов и вернет массив ответов.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SMD</w:t>
            </w:r>
          </w:p>
        </w:tc>
        <w:tc>
          <w:tcPr/>
          <w:p>
            <w:pPr>
              <w:pStyle w:val="Compact"/>
            </w:pPr>
            <w:r>
              <w:t xml:space="preserve">Запрос с параметром</w:t>
            </w:r>
            <w:r>
              <w:t xml:space="preserve"> </w:t>
            </w:r>
            <w:r>
              <w:rPr>
                <w:rStyle w:val="VerbatimChar"/>
              </w:rPr>
              <w:t xml:space="preserve">smd</w:t>
            </w:r>
            <w:r>
              <w:t xml:space="preserve"> </w:t>
            </w:r>
            <w:r>
              <w:t xml:space="preserve">возвращает service map, построенный по публичным методам сервера.</w:t>
            </w:r>
          </w:p>
        </w:tc>
      </w:tr>
    </w:tbl>
    <w:bookmarkEnd w:id="14"/>
    <w:bookmarkStart w:id="15" w:name="ошибки-json-rpc"/>
    <w:p>
      <w:pPr>
        <w:pStyle w:val="Heading3"/>
      </w:pPr>
      <w:r>
        <w:t xml:space="preserve">2. Ошибки JSON-RPC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-32700</w:t>
            </w:r>
          </w:p>
        </w:tc>
        <w:tc>
          <w:tcPr/>
          <w:p>
            <w:pPr>
              <w:pStyle w:val="Compact"/>
            </w:pPr>
            <w:r>
              <w:t xml:space="preserve">Ошибка разбора JSON.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-32600</w:t>
            </w:r>
          </w:p>
        </w:tc>
        <w:tc>
          <w:tcPr/>
          <w:p>
            <w:pPr>
              <w:pStyle w:val="Compact"/>
            </w:pPr>
            <w:r>
              <w:t xml:space="preserve">Некорректный запрос: например, не</w:t>
            </w:r>
            <w:r>
              <w:t xml:space="preserve"> </w:t>
            </w:r>
            <w:r>
              <w:rPr>
                <w:rStyle w:val="VerbatimChar"/>
              </w:rPr>
              <w:t xml:space="preserve">POST</w:t>
            </w:r>
            <w:r>
              <w:t xml:space="preserve">, нет</w:t>
            </w:r>
            <w:r>
              <w:t xml:space="preserve"> </w:t>
            </w:r>
            <w:r>
              <w:rPr>
                <w:rStyle w:val="VerbatimChar"/>
              </w:rPr>
              <w:t xml:space="preserve">jsonrpc: "2.0"</w:t>
            </w:r>
            <w:r>
              <w:t xml:space="preserve"> </w:t>
            </w:r>
            <w:r>
              <w:t xml:space="preserve">или тело пустое.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-32601</w:t>
            </w:r>
          </w:p>
        </w:tc>
        <w:tc>
          <w:tcPr/>
          <w:p>
            <w:pPr>
              <w:pStyle w:val="Compact"/>
            </w:pPr>
            <w:r>
              <w:t xml:space="preserve">Метод не найден или метод скрыт сервером.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-32602</w:t>
            </w:r>
          </w:p>
        </w:tc>
        <w:tc>
          <w:tcPr/>
          <w:p>
            <w:pPr>
              <w:pStyle w:val="Compact"/>
            </w:pPr>
            <w:r>
              <w:t xml:space="preserve">Некорректные параметры: не хватает обязательного параметра или</w:t>
            </w:r>
            <w:r>
              <w:t xml:space="preserve"> </w:t>
            </w:r>
            <w:r>
              <w:rPr>
                <w:rStyle w:val="VerbatimChar"/>
              </w:rPr>
              <w:t xml:space="preserve">params</w:t>
            </w:r>
            <w:r>
              <w:t xml:space="preserve"> </w:t>
            </w:r>
            <w:r>
              <w:t xml:space="preserve">имеет неподдерживаемый тип.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-32603</w:t>
            </w:r>
          </w:p>
        </w:tc>
        <w:tc>
          <w:tcPr/>
          <w:p>
            <w:pPr>
              <w:pStyle w:val="Compact"/>
            </w:pPr>
            <w:r>
              <w:t xml:space="preserve">Внутренняя ошибка.</w:t>
            </w:r>
          </w:p>
        </w:tc>
      </w:tr>
    </w:tbl>
    <w:p>
      <w:pPr>
        <w:pStyle w:val="BodyText"/>
      </w:pPr>
      <w:r>
        <w:t xml:space="preserve">Ошибки бизнес-операций возвращаются тем модулем, который выполняет операцию: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Например, заказ не будет</w:t>
      </w:r>
      <w:r>
        <w:t xml:space="preserve"> </w:t>
      </w:r>
      <w:r>
        <w:t xml:space="preserve">создан, если не найдена запись пользователя, БД каталога не открылась или</w:t>
      </w:r>
      <w:r>
        <w:t xml:space="preserve"> </w:t>
      </w:r>
      <w:r>
        <w:t xml:space="preserve">шифр записи не найден.</w:t>
      </w:r>
    </w:p>
    <w:bookmarkEnd w:id="15"/>
    <w:bookmarkStart w:id="16" w:name="аутентификация-и-доступ"/>
    <w:p>
      <w:pPr>
        <w:pStyle w:val="Heading3"/>
      </w:pPr>
      <w:r>
        <w:t xml:space="preserve">3. Аутентификация и доступ</w:t>
      </w:r>
    </w:p>
    <w:p>
      <w:pPr>
        <w:pStyle w:val="FirstParagraph"/>
      </w:pPr>
      <w:r>
        <w:t xml:space="preserve">Входная точка проходит через обычный запуск ИРБИС 128. Конкретные правила</w:t>
      </w:r>
      <w:r>
        <w:t xml:space="preserve"> </w:t>
      </w:r>
      <w:r>
        <w:t xml:space="preserve">доступа зависят от настроек сайта, авторизации, сессии, веб-сервера и</w:t>
      </w:r>
      <w:r>
        <w:t xml:space="preserve"> </w:t>
      </w:r>
      <w:r>
        <w:t xml:space="preserve">интеграционного контура. Внешнему клиенту нужно использовать тот URL и способ</w:t>
      </w:r>
      <w:r>
        <w:t xml:space="preserve"> </w:t>
      </w:r>
      <w:r>
        <w:t xml:space="preserve">доступа, который выдан администратором системы.</w:t>
      </w:r>
    </w:p>
    <w:bookmarkEnd w:id="16"/>
    <w:bookmarkEnd w:id="17"/>
    <w:bookmarkStart w:id="21" w:name="методы-json-rpc"/>
    <w:p>
      <w:pPr>
        <w:pStyle w:val="Heading2"/>
      </w:pPr>
      <w:r>
        <w:t xml:space="preserve">Методы JSON-RPC</w:t>
      </w:r>
    </w:p>
    <w:p>
      <w:pPr>
        <w:pStyle w:val="FirstParagraph"/>
      </w:pPr>
      <w:r>
        <w:t xml:space="preserve">Методы перечислены по фактическому классу</w:t>
      </w:r>
      <w:r>
        <w:t xml:space="preserve"> </w:t>
      </w:r>
      <w:r>
        <w:rPr>
          <w:rStyle w:val="VerbatimChar"/>
        </w:rPr>
        <w:t xml:space="preserve">Bitrix24_JSONRPCServer</w:t>
      </w:r>
      <w:r>
        <w:t xml:space="preserve">. Все</w:t>
      </w:r>
      <w:r>
        <w:t xml:space="preserve"> </w:t>
      </w:r>
      <w:r>
        <w:t xml:space="preserve">названия методов чувствительны к регистру, потому что вызываются как публичные</w:t>
      </w:r>
      <w:r>
        <w:t xml:space="preserve"> </w:t>
      </w:r>
      <w:r>
        <w:t xml:space="preserve">PHP-методы серверного объекта.</w:t>
      </w:r>
    </w:p>
    <w:bookmarkStart w:id="18" w:name="читатели"/>
    <w:p>
      <w:pPr>
        <w:pStyle w:val="Heading3"/>
      </w:pPr>
      <w:r>
        <w:t xml:space="preserve">1. Читатели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Содержимое записи читателя в виде массива полей. Если запись не найдена и включено создание через LDAP, модуль может создать запись из LDAP-данных.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Создает запись читателя из массива полей, при указанном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 </w:t>
            </w:r>
            <w:r>
              <w:t xml:space="preserve">записывает его в поле</w:t>
            </w:r>
            <w:r>
              <w:t xml:space="preserve"> </w:t>
            </w:r>
            <w:r>
              <w:rPr>
                <w:rStyle w:val="VerbatimChar"/>
              </w:rPr>
              <w:t xml:space="preserve">30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UpdateUser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user_rec_array = {}</w:t>
            </w:r>
          </w:p>
        </w:tc>
        <w:tc>
          <w:tcPr/>
          <w:p>
            <w:pPr>
              <w:pStyle w:val="Compact"/>
            </w:pPr>
            <w:r>
              <w:t xml:space="preserve">Находит читателя по</w:t>
            </w:r>
            <w:r>
              <w:t xml:space="preserve"> </w:t>
            </w:r>
            <w:r>
              <w:rPr>
                <w:rStyle w:val="VerbatimChar"/>
              </w:rPr>
              <w:t xml:space="preserve">user_id</w:t>
            </w:r>
            <w:r>
              <w:t xml:space="preserve">, заменяет содержимое записи переданным массивом полей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DelUser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 = ""</w:t>
            </w:r>
          </w:p>
        </w:tc>
        <w:tc>
          <w:tcPr/>
          <w:p>
            <w:pPr>
              <w:pStyle w:val="Compact"/>
            </w:pPr>
            <w:r>
              <w:t xml:space="preserve">Удаляет запись читателя. Возвращает результат удаления БД или код ошибки, если БД/читатель не найдены.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UserFormular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текущих выдач из формуляра читателя.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user_rec_array</w:t>
      </w:r>
      <w:r>
        <w:t xml:space="preserve"> </w:t>
      </w:r>
      <w:r>
        <w:t xml:space="preserve">передается в формате массива полей записи ИРБИС 128. При</w:t>
      </w:r>
      <w:r>
        <w:t xml:space="preserve"> </w:t>
      </w:r>
      <w:r>
        <w:t xml:space="preserve">передаче JSON-объекта сервер преобразует его в массив перед сохранением.</w:t>
      </w:r>
    </w:p>
    <w:p>
      <w:pPr>
        <w:pStyle w:val="BodyText"/>
      </w:pPr>
      <w:r>
        <w:t xml:space="preserve">Строки формуляра 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need_return_date</w:t>
            </w:r>
          </w:p>
        </w:tc>
        <w:tc>
          <w:tcPr/>
          <w:p>
            <w:pPr>
              <w:pStyle w:val="Compact"/>
            </w:pPr>
            <w:r>
              <w:t xml:space="preserve">Плановая дата возврата.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</w:tbl>
    <w:bookmarkEnd w:id="18"/>
    <w:bookmarkStart w:id="19" w:name="заказы-и-продление"/>
    <w:p>
      <w:pPr>
        <w:pStyle w:val="Heading3"/>
      </w:pPr>
      <w:r>
        <w:t xml:space="preserve">2. Заказы и продление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place_of_issue = ""</w:t>
            </w:r>
          </w:p>
        </w:tc>
        <w:tc>
          <w:tcPr/>
          <w:p>
            <w:pPr>
              <w:pStyle w:val="Compact"/>
            </w:pPr>
            <w:r>
              <w:t xml:space="preserve">Создает заказ на запись каталога, найденную в</w:t>
            </w:r>
            <w:r>
              <w:t xml:space="preserve"> </w:t>
            </w:r>
            <w:r>
              <w:rPr>
                <w:rStyle w:val="VerbatimChar"/>
              </w:rPr>
              <w:t xml:space="preserve">dbn</w:t>
            </w:r>
            <w:r>
              <w:t xml:space="preserve"> </w:t>
            </w:r>
            <w:r>
              <w:t xml:space="preserve">по шифру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  <w:r>
              <w:t xml:space="preserve">; при успехе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DeleteOrder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Находит заказ пользователя по шифру записи, помечает его как удаленный читателем и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GetOrders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заказов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BookReturnProlongation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barcode_rfid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inventory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Продлевает срок возврата выданного экземпляра и возвращает дату, рассчитанную модулем</w:t>
            </w:r>
            <w:r>
              <w:t xml:space="preserve"> </w:t>
            </w:r>
            <w:r>
              <w:rPr>
                <w:rStyle w:val="VerbatimChar"/>
              </w:rPr>
              <w:t xml:space="preserve">Bookland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new_return_date</w:t>
      </w:r>
      <w:r>
        <w:t xml:space="preserve"> </w:t>
      </w:r>
      <w:r>
        <w:t xml:space="preserve">передается в формате</w:t>
      </w:r>
      <w:r>
        <w:t xml:space="preserve"> </w:t>
      </w:r>
      <w:r>
        <w:rPr>
          <w:rStyle w:val="VerbatimChar"/>
        </w:rPr>
        <w:t xml:space="preserve">ГГГГММДД</w:t>
      </w:r>
      <w:r>
        <w:t xml:space="preserve">. Экземпляр для продления</w:t>
      </w:r>
      <w:r>
        <w:t xml:space="preserve"> </w:t>
      </w:r>
      <w:r>
        <w:t xml:space="preserve">определяется по</w:t>
      </w:r>
      <w:r>
        <w:t xml:space="preserve"> </w:t>
      </w:r>
      <w:r>
        <w:rPr>
          <w:rStyle w:val="VerbatimChar"/>
        </w:rPr>
        <w:t xml:space="preserve">barcode_rfid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inventory</w:t>
      </w:r>
      <w:r>
        <w:t xml:space="preserve">.</w:t>
      </w:r>
    </w:p>
    <w:p>
      <w:pPr>
        <w:pStyle w:val="BodyText"/>
      </w:pPr>
      <w:r>
        <w:t xml:space="preserve">Строки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 </w:t>
      </w:r>
      <w:r>
        <w:t xml:space="preserve">содержат: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 результата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</w:t>
            </w:r>
          </w:p>
        </w:tc>
        <w:tc>
          <w:tcPr/>
          <w:p>
            <w:pPr>
              <w:pStyle w:val="Compact"/>
            </w:pPr>
            <w:r>
              <w:t xml:space="preserve">БД каталога.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Шифр записи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user_id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Библиографическое описание из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responsible_face</w:t>
            </w:r>
          </w:p>
        </w:tc>
        <w:tc>
          <w:tcPr/>
          <w:p>
            <w:pPr>
              <w:pStyle w:val="Compact"/>
            </w:pPr>
            <w:r>
              <w:t xml:space="preserve">Ответственное лицо.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Место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place_of_store</w:t>
            </w:r>
          </w:p>
        </w:tc>
        <w:tc>
          <w:tcPr/>
          <w:p>
            <w:pPr>
              <w:pStyle w:val="Compact"/>
            </w:pPr>
            <w:r>
              <w:t xml:space="preserve">Место хранения.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Штрихкод или RFID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inventory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order_date</w:t>
            </w:r>
          </w:p>
        </w:tc>
        <w:tc>
          <w:tcPr/>
          <w:p>
            <w:pPr>
              <w:pStyle w:val="Compact"/>
            </w:pPr>
            <w:r>
              <w:t xml:space="preserve">Дата заказа.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issue_date</w:t>
            </w:r>
          </w:p>
        </w:tc>
        <w:tc>
          <w:tcPr/>
          <w:p>
            <w:pPr>
              <w:pStyle w:val="Compact"/>
            </w:pPr>
            <w:r>
              <w:t xml:space="preserve">Дата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reservation_date</w:t>
            </w:r>
          </w:p>
        </w:tc>
        <w:tc>
          <w:tcPr/>
          <w:p>
            <w:pPr>
              <w:pStyle w:val="Compact"/>
            </w:pPr>
            <w:r>
              <w:t xml:space="preserve">Дата передачи в бронь.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refuse_date</w:t>
            </w:r>
          </w:p>
        </w:tc>
        <w:tc>
          <w:tcPr/>
          <w:p>
            <w:pPr>
              <w:pStyle w:val="Compact"/>
            </w:pPr>
            <w:r>
              <w:t xml:space="preserve">Дата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refuse_reason</w:t>
            </w:r>
          </w:p>
        </w:tc>
        <w:tc>
          <w:tcPr/>
          <w:p>
            <w:pPr>
              <w:pStyle w:val="Compact"/>
            </w:pPr>
            <w:r>
              <w:t xml:space="preserve">Причина отказа.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is_edd</w:t>
            </w:r>
          </w:p>
        </w:tc>
        <w:tc>
          <w:tcPr/>
          <w:p>
            <w:pPr>
              <w:pStyle w:val="Compact"/>
            </w:pPr>
            <w:r>
              <w:t xml:space="preserve">Признак ЭДД.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edd_url</w:t>
            </w:r>
          </w:p>
        </w:tc>
        <w:tc>
          <w:tcPr/>
          <w:p>
            <w:pPr>
              <w:pStyle w:val="Compact"/>
            </w:pPr>
            <w:r>
              <w:t xml:space="preserve">Ссылка на ЭДД-документ, если она сформирована.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Числовой статус заказа.</w:t>
            </w:r>
          </w:p>
        </w:tc>
      </w:tr>
    </w:tbl>
    <w:p>
      <w:pPr>
        <w:pStyle w:val="BodyText"/>
      </w:pPr>
      <w:r>
        <w:t xml:space="preserve">Статусы заказа: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Заказ ожидает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Заказ передан в бронь или к месту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Заказ получен в месте 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Заказ отклонен.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Издание выдано.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Заказ успешно создан.</w:t>
            </w:r>
          </w:p>
        </w:tc>
      </w:tr>
    </w:tbl>
    <w:bookmarkEnd w:id="19"/>
    <w:bookmarkStart w:id="20" w:name="каталог-экземпляры-и-форматирование"/>
    <w:p>
      <w:pPr>
        <w:pStyle w:val="Heading3"/>
      </w:pPr>
      <w:r>
        <w:t xml:space="preserve">3. Каталог, экземпляры и форматирование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GetExemplarsInfo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Возвращает сведения об экземплярах библиографической записи: доступные и занятые экземпляры, места хранения, инвентарные номера и связанные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seq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numMfn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firstMfn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Min = 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 = 0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в БД, форматирует найденные записи и возвращает массив результата.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pref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startTerm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numTerms = 20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isBack = false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 = ""</w:t>
            </w:r>
          </w:p>
        </w:tc>
        <w:tc>
          <w:tcPr/>
          <w:p>
            <w:pPr>
              <w:pStyle w:val="Compact"/>
            </w:pPr>
            <w:r>
              <w:t xml:space="preserve">Возвращает список терминов словаря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GetFasets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exp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celltype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Возвращает фасеты для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rec_array</w:t>
            </w:r>
          </w:p>
        </w:tc>
        <w:tc>
          <w:tcPr/>
          <w:p>
            <w:pPr>
              <w:pStyle w:val="Compact"/>
            </w:pPr>
            <w:r>
              <w:t xml:space="preserve">Создает виртуальную запись из массива полей и форматирует ее указанным форматом.</w:t>
            </w:r>
          </w:p>
        </w:tc>
      </w:tr>
    </w:tbl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передается в форматтер БД. Для интеграционного</w:t>
      </w:r>
      <w:r>
        <w:t xml:space="preserve"> </w:t>
      </w:r>
      <w:r>
        <w:t xml:space="preserve">ответа можно использовать формат</w:t>
      </w:r>
      <w:r>
        <w:t xml:space="preserve"> </w:t>
      </w:r>
      <w:r>
        <w:rPr>
          <w:rStyle w:val="VerbatimChar"/>
        </w:rPr>
        <w:t xml:space="preserve">@Bitrix24/recdata</w:t>
      </w:r>
      <w:r>
        <w:t xml:space="preserve">; он возвращает JSON со</w:t>
      </w:r>
      <w:r>
        <w:t xml:space="preserve"> </w:t>
      </w:r>
      <w:r>
        <w:t xml:space="preserve">следующими полями: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Полное содержимое записи как массив полей.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Полное форматированное описание.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RecVirtualFormat</w:t>
      </w:r>
      <w:r>
        <w:t xml:space="preserve"> </w:t>
      </w:r>
      <w:r>
        <w:t xml:space="preserve">полезен, когда внешняя система уже собрала массив полей и</w:t>
      </w:r>
      <w:r>
        <w:t xml:space="preserve"> </w:t>
      </w:r>
      <w:r>
        <w:t xml:space="preserve">ей нужно получить результат штатного форматирования ИРБИС 128 без сохранения</w:t>
      </w:r>
      <w:r>
        <w:t xml:space="preserve"> </w:t>
      </w:r>
      <w:r>
        <w:t xml:space="preserve">записи в БД.</w:t>
      </w:r>
    </w:p>
    <w:bookmarkEnd w:id="20"/>
    <w:bookmarkEnd w:id="21"/>
    <w:bookmarkStart w:id="29" w:name="примеры-вызовов"/>
    <w:p>
      <w:pPr>
        <w:pStyle w:val="Heading2"/>
      </w:pPr>
      <w:r>
        <w:t xml:space="preserve">Примеры вызовов</w:t>
      </w:r>
    </w:p>
    <w:p>
      <w:pPr>
        <w:pStyle w:val="FirstParagraph"/>
      </w:pPr>
      <w:r>
        <w:t xml:space="preserve">Примеры показывают только структуру JSON-RPC запроса. Конкретный базовый URL,</w:t>
      </w:r>
      <w:r>
        <w:t xml:space="preserve"> </w:t>
      </w:r>
      <w:r>
        <w:t xml:space="preserve">учетные данные и допустимые БД должен выдать администратор инсталляции.</w:t>
      </w:r>
    </w:p>
    <w:bookmarkStart w:id="22" w:name="получить-читателя"/>
    <w:p>
      <w:pPr>
        <w:pStyle w:val="Heading3"/>
      </w:pPr>
      <w:r>
        <w:t xml:space="preserve">1. Получить читателя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"get-user-1"</w:t>
      </w:r>
      <w:r>
        <w:br/>
      </w:r>
      <w:r>
        <w:rPr>
          <w:rStyle w:val="FunctionTok"/>
        </w:rPr>
        <w:t xml:space="preserve">}</w:t>
      </w:r>
    </w:p>
    <w:bookmarkEnd w:id="22"/>
    <w:bookmarkStart w:id="23" w:name="создать-заказ"/>
    <w:p>
      <w:pPr>
        <w:pStyle w:val="Heading3"/>
      </w:pPr>
      <w:r>
        <w:t xml:space="preserve">2. Создать заказ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"MakeOrder"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"record_id"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"004(075.8)/T 35-596353004"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"place_of_issue"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"AB1"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"make-order-1"</w:t>
      </w:r>
      <w:r>
        <w:br/>
      </w:r>
      <w:r>
        <w:rPr>
          <w:rStyle w:val="FunctionTok"/>
        </w:rPr>
        <w:t xml:space="preserve">}</w:t>
      </w:r>
    </w:p>
    <w:bookmarkEnd w:id="23"/>
    <w:bookmarkStart w:id="24" w:name="X292964a0e412c98d5c916116ffbd9e03389815f"/>
    <w:p>
      <w:pPr>
        <w:pStyle w:val="Heading3"/>
      </w:pPr>
      <w:r>
        <w:t xml:space="preserve">3. Найти записи и вернуть данные через</w:t>
      </w:r>
      <w:r>
        <w:t xml:space="preserve"> </w:t>
      </w:r>
      <w:r>
        <w:rPr>
          <w:rStyle w:val="VerbatimChar"/>
        </w:rPr>
        <w:t xml:space="preserve">@Bitrix24/recdata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"IBIS"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"exp"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"seq"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"@Bitrix24/recdata"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"numMfn"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"firstMfn"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"search-1"</w:t>
      </w:r>
      <w:r>
        <w:br/>
      </w:r>
      <w:r>
        <w:rPr>
          <w:rStyle w:val="FunctionTok"/>
        </w:rPr>
        <w:t xml:space="preserve">}</w:t>
      </w:r>
    </w:p>
    <w:bookmarkEnd w:id="24"/>
    <w:bookmarkStart w:id="25" w:name="получить-формуляр"/>
    <w:p>
      <w:pPr>
        <w:pStyle w:val="Heading3"/>
      </w:pPr>
      <w:r>
        <w:t xml:space="preserve">4. Получить формуляр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"UserFormular"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"formular-1"</w:t>
      </w:r>
      <w:r>
        <w:br/>
      </w:r>
      <w:r>
        <w:rPr>
          <w:rStyle w:val="FunctionTok"/>
        </w:rPr>
        <w:t xml:space="preserve">}</w:t>
      </w:r>
    </w:p>
    <w:bookmarkEnd w:id="25"/>
    <w:bookmarkStart w:id="26" w:name="продлить-выдачу"/>
    <w:p>
      <w:pPr>
        <w:pStyle w:val="Heading3"/>
      </w:pPr>
      <w:r>
        <w:t xml:space="preserve">5. Продлить выдачу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"BookReturnProlongation"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"barcode_rfid"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"460000000001"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"inventory"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"new_return_date"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"20260731"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"prolongation-1"</w:t>
      </w:r>
      <w:r>
        <w:br/>
      </w:r>
      <w:r>
        <w:rPr>
          <w:rStyle w:val="FunctionTok"/>
        </w:rPr>
        <w:t xml:space="preserve">}</w:t>
      </w:r>
    </w:p>
    <w:bookmarkEnd w:id="26"/>
    <w:bookmarkStart w:id="27" w:name="отформатировать-виртуальную-запись"/>
    <w:p>
      <w:pPr>
        <w:pStyle w:val="Heading3"/>
      </w:pPr>
      <w:r>
        <w:t xml:space="preserve">6. Отформатировать виртуальную запись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"RecVirtualFormat"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"dbn"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"request"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"format"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"@requestout"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"rec_array"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"1"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"*"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</w:t>
      </w:r>
      <w:r>
        <w:rPr>
          <w:rStyle w:val="CharTok"/>
        </w:rPr>
        <w:t xml:space="preserve">\"</w:t>
      </w:r>
      <w:r>
        <w:rPr>
          <w:rStyle w:val="StringTok"/>
        </w:rPr>
        <w:t xml:space="preserve">A=Pushkin$</w:t>
      </w:r>
      <w:r>
        <w:rPr>
          <w:rStyle w:val="CharTok"/>
        </w:rPr>
        <w:t xml:space="preserve">\"</w:t>
      </w:r>
      <w:r>
        <w:rPr>
          <w:rStyle w:val="StringTok"/>
        </w:rPr>
        <w:t xml:space="preserve">"</w:t>
      </w:r>
      <w:r>
        <w:br/>
      </w:r>
      <w:r>
        <w:rPr>
          <w:rStyle w:val="NormalTok"/>
        </w:rPr>
        <w:t xml:space="preserve">    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    </w:t>
      </w:r>
      <w:r>
        <w:rPr>
          <w:rStyle w:val="OtherTok"/>
        </w:rPr>
        <w:t xml:space="preserve">]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"virtual-format-1"</w:t>
      </w:r>
      <w:r>
        <w:br/>
      </w:r>
      <w:r>
        <w:rPr>
          <w:rStyle w:val="FunctionTok"/>
        </w:rPr>
        <w:t xml:space="preserve">}</w:t>
      </w:r>
    </w:p>
    <w:bookmarkEnd w:id="27"/>
    <w:bookmarkStart w:id="28" w:name="batch-вызов"/>
    <w:p>
      <w:pPr>
        <w:pStyle w:val="Heading3"/>
      </w:pPr>
      <w:r>
        <w:t xml:space="preserve">7. Batch-вызов</w:t>
      </w:r>
    </w:p>
    <w:p>
      <w:pPr>
        <w:pStyle w:val="SourceCode"/>
      </w:pPr>
      <w:r>
        <w:rPr>
          <w:rStyle w:val="OtherTok"/>
        </w:rPr>
        <w:t xml:space="preserve">[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"GetUser"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"jsonrpc"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"2.0"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"method"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"GetOrders"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"params"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"user_id"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"reader-001"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},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"id"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}</w:t>
      </w:r>
      <w:r>
        <w:br/>
      </w:r>
      <w:r>
        <w:rPr>
          <w:rStyle w:val="OtherTok"/>
        </w:rPr>
        <w:t xml:space="preserve">]</w:t>
      </w:r>
    </w:p>
    <w:p>
      <w:pPr>
        <w:pStyle w:val="FirstParagraph"/>
      </w:pPr>
      <w:r>
        <w:t xml:space="preserve">Batch-ответ содержит массив ответов для вызовов, у которых был указан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  <w:r>
        <w:t xml:space="preserve"> </w:t>
      </w:r>
      <w:r>
        <w:t xml:space="preserve">Если вызов отправлен без</w:t>
      </w:r>
      <w:r>
        <w:t xml:space="preserve"> </w:t>
      </w:r>
      <w:r>
        <w:rPr>
          <w:rStyle w:val="VerbatimChar"/>
        </w:rPr>
        <w:t xml:space="preserve">id</w:t>
      </w:r>
      <w:r>
        <w:t xml:space="preserve">, сервер выполнит его как notification и не</w:t>
      </w:r>
      <w:r>
        <w:t xml:space="preserve"> </w:t>
      </w:r>
      <w:r>
        <w:t xml:space="preserve">добавит отдельный ответ для этого элемента.</w:t>
      </w:r>
    </w:p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Битрикс24</dc:title>
  <dc:creator/>
  <cp:keywords/>
  <dcterms:created xsi:type="dcterms:W3CDTF">2026-09-03T17:12:49Z</dcterms:created>
  <dcterms:modified xsi:type="dcterms:W3CDTF">2026-09-03T17:12:49Z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