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[I128-1460] Прозрачная авторизация из внешних систем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f1ccb32d7c7296be765382fcc70007ba9720d3d"/>
    <w:p>
      <w:pPr>
        <w:pStyle w:val="Heading1"/>
      </w:pPr>
      <w:r>
        <w:t xml:space="preserve">[I128-1460] Прозрачная авторизация из внешних систем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Authorisation/TransparentAuth</w:t>
      </w:r>
      <w:r>
        <w:t xml:space="preserve"> </w:t>
      </w:r>
      <w:r>
        <w:t xml:space="preserve">- настройка ключей прозрачной авторизации, параметры защищённой ссылки, формула подписи, срок действия и порядок проверки входа.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Authorisation/Root</w:t>
      </w:r>
      <w:r>
        <w:t xml:space="preserve"> </w:t>
      </w:r>
      <w:r>
        <w:t xml:space="preserve">- добавлена ссылка на новый раздел прозрачной авторизации.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Authorisation/Purpose</w:t>
      </w:r>
      <w:r>
        <w:t xml:space="preserve"> </w:t>
      </w:r>
      <w:r>
        <w:t xml:space="preserve">- уточнён способ входа через подписанную внешнюю ссылку.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Iri/Purpose</w:t>
      </w:r>
      <w:r>
        <w:t xml:space="preserve"> </w:t>
      </w:r>
      <w:r>
        <w:t xml:space="preserve">- описана связь параметров</w:t>
      </w:r>
      <w:r>
        <w:t xml:space="preserve"> </w:t>
      </w:r>
      <w:r>
        <w:rPr>
          <w:rStyle w:val="VerbatimChar"/>
        </w:rPr>
        <w:t xml:space="preserve">transparentAuthKeyName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transparentAuthKey</w:t>
      </w:r>
      <w:r>
        <w:t xml:space="preserve"> </w:t>
      </w:r>
      <w:r>
        <w:t xml:space="preserve">с ключами модуля</w:t>
      </w:r>
      <w:r>
        <w:t xml:space="preserve"> </w:t>
      </w:r>
      <w:r>
        <w:rPr>
          <w:rStyle w:val="VerbatimChar"/>
        </w:rPr>
        <w:t xml:space="preserve">Authorisation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добавлено описание прозрачной авторизации для внешних систем и рассылок IRI. Документация объясняет, какие значения задаются в настройках модулей, какие параметры должна содержать защищённая ссылка и как рассчитывается подпись</w:t>
      </w:r>
      <w:r>
        <w:t xml:space="preserve"> </w:t>
      </w:r>
      <w:r>
        <w:rPr>
          <w:rStyle w:val="VerbatimChar"/>
        </w:rPr>
        <w:t xml:space="preserve">I128FAuthPass</w:t>
      </w:r>
      <w:r>
        <w:t xml:space="preserve">. Формирование ссылок из рассылки IRI приведено к описанной схеме параметров прозрачной авторизации.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297"/>
    <w:p>
      <w:pPr>
        <w:pStyle w:val="Heading3"/>
      </w:pPr>
      <w:r>
        <w:t xml:space="preserve">1.1. 🔗 Соответствует задача: I128-1297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[I128-1297]</w:t>
        </w:r>
      </w:hyperlink>
      <w:r>
        <w:t xml:space="preserve"> </w:t>
      </w:r>
      <w:r>
        <w:t xml:space="preserve">Усиление защиты прозрачной авторизации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29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29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[I128-1460] Прозрачная авторизация из внешних систем</dc:title>
  <dc:creator/>
  <cp:keywords/>
  <dcterms:created xsi:type="dcterms:W3CDTF">2026-09-06T09:30:16Z</dcterms:created>
  <dcterms:modified xsi:type="dcterms:W3CDTF">2026-09-06T09:30:16Z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