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[I128-1683] datai d2 2025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683-datai-d2-2025"/>
    <w:p>
      <w:pPr>
        <w:pStyle w:val="Heading1"/>
      </w:pPr>
      <w:r>
        <w:t xml:space="preserve">[I128-1683] datai d2 2025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44"/>
    <w:p>
      <w:pPr>
        <w:pStyle w:val="Heading3"/>
      </w:pPr>
      <w:r>
        <w:t xml:space="preserve">1.1. 🔗 Соответствует задача: I128-1644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[I128-1644]</w:t>
        </w:r>
      </w:hyperlink>
      <w:r>
        <w:t xml:space="preserve"> </w:t>
      </w:r>
      <w:r>
        <w:t xml:space="preserve">Применено исправление 2025 D2 технологического обеспечения системы ИРБИС 64/128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4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4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[I128-1683] datai d2 2025</dc:title>
  <dc:creator/>
  <cp:keywords/>
  <dcterms:created xsi:type="dcterms:W3CDTF">2026-09-07T04:19:07Z</dcterms:created>
  <dcterms:modified xsi:type="dcterms:W3CDTF">2026-09-07T04:19:07Z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