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  <Override PartName="/word/media/rId19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БД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5" w:name="работа-с-бд-сводного-каталога"/>
    <w:p>
      <w:pPr>
        <w:pStyle w:val="Heading1"/>
      </w:pPr>
      <w:r>
        <w:t xml:space="preserve">Работа с БД сводного каталога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 АРМ Каталогизатор пользователь может выполнять поиск и отдельные действия с записями БД сводного каталога. Административная настройка и сборка сводного каталога описываются в разделе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; этот раздел описывает только пользовательские действия в интерфейсе Каталогизатора.</w:t>
      </w:r>
    </w:p>
    <w:bookmarkEnd w:id="9"/>
    <w:bookmarkStart w:id="16" w:name="поиск-записей"/>
    <w:p>
      <w:pPr>
        <w:pStyle w:val="Heading2"/>
      </w:pPr>
      <w:r>
        <w:t xml:space="preserve">2. Поиск записей</w:t>
      </w:r>
    </w:p>
    <w:p>
      <w:pPr>
        <w:pStyle w:val="Compact"/>
        <w:numPr>
          <w:ilvl w:val="0"/>
          <w:numId w:val="1001"/>
        </w:numPr>
      </w:pPr>
      <w:r>
        <w:t xml:space="preserve">Откройте форму поиска по БД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Выберите вид поиска.</w:t>
      </w:r>
    </w:p>
    <w:p>
      <w:pPr>
        <w:pStyle w:val="Compact"/>
        <w:numPr>
          <w:ilvl w:val="0"/>
          <w:numId w:val="1001"/>
        </w:numPr>
      </w:pPr>
      <w:r>
        <w:t xml:space="preserve">Заполните поисковое поле.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Поиск</w:t>
      </w:r>
      <w:r>
        <w:t xml:space="preserve">.</w:t>
      </w:r>
    </w:p>
    <w:p>
      <w:pPr>
        <w:pStyle w:val="CaptionedFigure"/>
      </w:pPr>
      <w:r>
        <w:drawing>
          <wp:inline>
            <wp:extent cx="5334000" cy="3032477"/>
            <wp:effectExtent b="0" l="0" r="0" t="0"/>
            <wp:docPr descr="Форма поиска по сводному каталогу" title="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2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Форма поиска по сводному каталогу</w:t>
      </w:r>
    </w:p>
    <w:p>
      <w:pPr>
        <w:pStyle w:val="BodyText"/>
      </w:pPr>
      <w:r>
        <w:t xml:space="preserve">После выполнения поиска записи выводятся в область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CaptionedFigure"/>
      </w:pPr>
      <w:r>
        <w:drawing>
          <wp:inline>
            <wp:extent cx="5334000" cy="3494522"/>
            <wp:effectExtent b="0" l="0" r="0" t="0"/>
            <wp:docPr descr="Поисковая выдача сводного каталога" title="" id="14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4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Поисковая выдача сводного каталога</w:t>
      </w:r>
    </w:p>
    <w:bookmarkEnd w:id="16"/>
    <w:bookmarkStart w:id="17" w:name="доступные-виды-поиска"/>
    <w:p>
      <w:pPr>
        <w:pStyle w:val="Heading2"/>
      </w:pPr>
      <w:r>
        <w:t xml:space="preserve">3. Доступные виды поиска</w:t>
      </w:r>
    </w:p>
    <w:p>
      <w:pPr>
        <w:pStyle w:val="FirstParagraph"/>
      </w:pPr>
      <w:r>
        <w:t xml:space="preserve">В поставочной БД сводного каталога доступны основные библиографические и технологические виды поиска. Пользователь выбирает их в списке видов поиска; система формирует поисковое выражение с соответствующим префиксом.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поиска</w:t>
            </w:r>
          </w:p>
        </w:tc>
        <w:tc>
          <w:tcPr/>
          <w:p>
            <w:pPr>
              <w:pStyle w:val="Compact"/>
            </w:pPr>
            <w:r>
              <w:t xml:space="preserve">Что искать</w:t>
            </w:r>
          </w:p>
        </w:tc>
        <w:tc>
          <w:tcPr/>
          <w:p>
            <w:pPr>
              <w:pStyle w:val="Compact"/>
            </w:pPr>
            <w:r>
              <w:t xml:space="preserve">Префикс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Автор</w:t>
            </w:r>
          </w:p>
        </w:tc>
        <w:tc>
          <w:tcPr/>
          <w:p>
            <w:pPr>
              <w:pStyle w:val="Compact"/>
            </w:pPr>
            <w:r>
              <w:t xml:space="preserve">Фамилию индивидуального автора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Заглавие</w:t>
            </w:r>
          </w:p>
        </w:tc>
        <w:tc>
          <w:tcPr/>
          <w:p>
            <w:pPr>
              <w:pStyle w:val="Compact"/>
            </w:pPr>
            <w:r>
              <w:t xml:space="preserve">Заглавие, слова из заглавия и связанные заглавия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Год издания</w:t>
            </w:r>
          </w:p>
        </w:tc>
        <w:tc>
          <w:tcPr/>
          <w:p>
            <w:pPr>
              <w:pStyle w:val="Compact"/>
            </w:pPr>
            <w:r>
              <w:t xml:space="preserve">Год издания документа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УДК</w:t>
            </w:r>
          </w:p>
        </w:tc>
        <w:tc>
          <w:tcPr/>
          <w:p>
            <w:pPr>
              <w:pStyle w:val="Compact"/>
            </w:pPr>
            <w:r>
              <w:t xml:space="preserve">Индекс УДК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Ключевые слова</w:t>
            </w:r>
          </w:p>
        </w:tc>
        <w:tc>
          <w:tcPr/>
          <w:p>
            <w:pPr>
              <w:pStyle w:val="Compact"/>
            </w:pPr>
            <w:r>
              <w:t xml:space="preserve">Ключевые слова и расширенные текстовые признаки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Коллективный автор</w:t>
            </w:r>
          </w:p>
        </w:tc>
        <w:tc>
          <w:tcPr/>
          <w:p>
            <w:pPr>
              <w:pStyle w:val="Compact"/>
            </w:pPr>
            <w:r>
              <w:t xml:space="preserve">Название организации или коллектива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Язык</w:t>
            </w:r>
          </w:p>
        </w:tc>
        <w:tc>
          <w:tcPr/>
          <w:p>
            <w:pPr>
              <w:pStyle w:val="Compact"/>
            </w:pPr>
            <w:r>
              <w:t xml:space="preserve">Код языка документа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Рубрика ГАСНТИ</w:t>
            </w:r>
          </w:p>
        </w:tc>
        <w:tc>
          <w:tcPr/>
          <w:p>
            <w:pPr>
              <w:pStyle w:val="Compact"/>
            </w:pPr>
            <w:r>
              <w:t xml:space="preserve">Рубрику ГАСНТИ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Страна</w:t>
            </w:r>
          </w:p>
        </w:tc>
        <w:tc>
          <w:tcPr/>
          <w:p>
            <w:pPr>
              <w:pStyle w:val="Compact"/>
            </w:pPr>
            <w:r>
              <w:t xml:space="preserve">Код страны публикации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Шифр хранения</w:t>
            </w:r>
          </w:p>
        </w:tc>
        <w:tc>
          <w:tcPr/>
          <w:p>
            <w:pPr>
              <w:pStyle w:val="Compact"/>
            </w:pPr>
            <w:r>
              <w:t xml:space="preserve">Шифр документа в БД сводного каталога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поступления</w:t>
            </w:r>
          </w:p>
        </w:tc>
        <w:tc>
          <w:tcPr/>
          <w:p>
            <w:pPr>
              <w:pStyle w:val="Compact"/>
            </w:pPr>
            <w:r>
              <w:t xml:space="preserve">Интервал поступления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@DP=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Вид документа</w:t>
            </w:r>
          </w:p>
        </w:tc>
        <w:tc>
          <w:tcPr/>
          <w:p>
            <w:pPr>
              <w:pStyle w:val="Compact"/>
            </w:pPr>
            <w:r>
              <w:t xml:space="preserve">Код вида документа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Год/том/номер</w:t>
            </w:r>
          </w:p>
        </w:tc>
        <w:tc>
          <w:tcPr/>
          <w:p>
            <w:pPr>
              <w:pStyle w:val="Compact"/>
            </w:pPr>
            <w:r>
              <w:t xml:space="preserve">Год, том или номер периодического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</w:tr>
    </w:tbl>
    <w:p>
      <w:pPr>
        <w:pStyle w:val="BodyText"/>
      </w:pPr>
      <w:r>
        <w:t xml:space="preserve">Дополнительные виды поиска используются в технологических сценариях ИРБИС 128 и при сопровождении данных сводного каталога.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поиска</w:t>
            </w:r>
          </w:p>
        </w:tc>
        <w:tc>
          <w:tcPr/>
          <w:p>
            <w:pPr>
              <w:pStyle w:val="Compact"/>
            </w:pPr>
            <w:r>
              <w:t xml:space="preserve">Что искать</w:t>
            </w:r>
          </w:p>
        </w:tc>
        <w:tc>
          <w:tcPr/>
          <w:p>
            <w:pPr>
              <w:pStyle w:val="Compact"/>
            </w:pPr>
            <w:r>
              <w:t xml:space="preserve">Префикс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акта передачи</w:t>
            </w:r>
          </w:p>
        </w:tc>
        <w:tc>
          <w:tcPr/>
          <w:p>
            <w:pPr>
              <w:pStyle w:val="Compact"/>
            </w:pPr>
            <w:r>
              <w:t xml:space="preserve">Номер акта передачи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NAP=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партии книг при выбытии</w:t>
            </w:r>
          </w:p>
        </w:tc>
        <w:tc>
          <w:tcPr/>
          <w:p>
            <w:pPr>
              <w:pStyle w:val="Compact"/>
            </w:pPr>
            <w:r>
              <w:t xml:space="preserve">Номер партии, связанной с выбытием экземпляров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NKS2=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Носитель</w:t>
            </w:r>
          </w:p>
        </w:tc>
        <w:tc>
          <w:tcPr/>
          <w:p>
            <w:pPr>
              <w:pStyle w:val="Compact"/>
            </w:pPr>
            <w:r>
              <w:t xml:space="preserve">Код носителя документа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NOS=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Характер</w:t>
            </w:r>
          </w:p>
        </w:tc>
        <w:tc>
          <w:tcPr/>
          <w:p>
            <w:pPr>
              <w:pStyle w:val="Compact"/>
            </w:pPr>
            <w:r>
              <w:t xml:space="preserve">Код характера документа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HD=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Раздел знаний</w:t>
            </w:r>
          </w:p>
        </w:tc>
        <w:tc>
          <w:tcPr/>
          <w:p>
            <w:pPr>
              <w:pStyle w:val="Compact"/>
            </w:pPr>
            <w:r>
              <w:t xml:space="preserve">Код раздела знаний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RZD=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УДК/ББК</w:t>
            </w:r>
          </w:p>
        </w:tc>
        <w:tc>
          <w:tcPr/>
          <w:p>
            <w:pPr>
              <w:pStyle w:val="Compact"/>
            </w:pPr>
            <w:r>
              <w:t xml:space="preserve">Индекс классификации УДК или ББК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U=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Другая классификация</w:t>
            </w:r>
          </w:p>
        </w:tc>
        <w:tc>
          <w:tcPr/>
          <w:p>
            <w:pPr>
              <w:pStyle w:val="Compact"/>
            </w:pPr>
            <w:r>
              <w:t xml:space="preserve">Код другой классификационной схемы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RIN=</w:t>
            </w:r>
          </w:p>
        </w:tc>
      </w:tr>
    </w:tbl>
    <w:bookmarkEnd w:id="17"/>
    <w:bookmarkStart w:id="22" w:name="экспорт-записей"/>
    <w:p>
      <w:pPr>
        <w:pStyle w:val="Heading2"/>
      </w:pPr>
      <w:r>
        <w:t xml:space="preserve">4. Экспорт записей</w:t>
      </w:r>
    </w:p>
    <w:p>
      <w:pPr>
        <w:pStyle w:val="FirstParagraph"/>
      </w:pPr>
      <w:r>
        <w:t xml:space="preserve">Для экспорта найденных записей отметьте нужные записи и нажмите кнопку</w:t>
      </w:r>
      <w:r>
        <w:t xml:space="preserve"> </w:t>
      </w:r>
      <w:r>
        <w:rPr>
          <w:rStyle w:val="VerbatimChar"/>
        </w:rPr>
        <w:t xml:space="preserve">Экспортировать записи</w:t>
      </w:r>
      <w:r>
        <w:t xml:space="preserve">. Общий порядок экспорта описан в разделе</w:t>
      </w:r>
      <w:r>
        <w:t xml:space="preserve"> </w:t>
      </w:r>
      <w:hyperlink r:id="rId18">
        <w:r>
          <w:rPr>
            <w:rStyle w:val="Hyperlink"/>
          </w:rPr>
          <w:t xml:space="preserve">Экспорт записей из БД электронного каталога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5334000" cy="3570899"/>
            <wp:effectExtent b="0" l="0" r="0" t="0"/>
            <wp:docPr descr="Выбор записей сводного каталога для экспорта" title="" id="20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3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0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записей сводного каталога для экспорта</w:t>
      </w:r>
    </w:p>
    <w:p>
      <w:pPr>
        <w:pStyle w:val="BodyText"/>
      </w:pPr>
      <w:r>
        <w:t xml:space="preserve">В окне подтверждения выберите записи, формат или кодировку выгрузки и 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bookmarkEnd w:id="22"/>
    <w:bookmarkStart w:id="29" w:name="сохранённые-поисковые-запросы"/>
    <w:p>
      <w:pPr>
        <w:pStyle w:val="Heading2"/>
      </w:pPr>
      <w:r>
        <w:t xml:space="preserve">5. Сохранённые поисковые запросы</w:t>
      </w:r>
    </w:p>
    <w:p>
      <w:pPr>
        <w:pStyle w:val="FirstParagraph"/>
      </w:pPr>
      <w:r>
        <w:t xml:space="preserve">После выполнения поиска можно сохранить поисковый запрос под пользовательским именем.</w:t>
      </w:r>
    </w:p>
    <w:p>
      <w:pPr>
        <w:pStyle w:val="CaptionedFigure"/>
      </w:pPr>
      <w:r>
        <w:drawing>
          <wp:inline>
            <wp:extent cx="5334000" cy="3506176"/>
            <wp:effectExtent b="0" l="0" r="0" t="0"/>
            <wp:docPr descr="Сохранение поискового запроса по сводному каталогу" title="" id="24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6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Сохранение поискового запроса по сводному каталогу</w:t>
      </w:r>
    </w:p>
    <w:p>
      <w:pPr>
        <w:pStyle w:val="BodyText"/>
      </w:pPr>
      <w:r>
        <w:t xml:space="preserve">Сохранённые запросы по БД сводного каталога открываются из личного кабинета пользователя.</w:t>
      </w:r>
    </w:p>
    <w:p>
      <w:pPr>
        <w:pStyle w:val="CaptionedFigure"/>
      </w:pPr>
      <w:r>
        <w:drawing>
          <wp:inline>
            <wp:extent cx="5334000" cy="2821761"/>
            <wp:effectExtent b="0" l="0" r="0" t="0"/>
            <wp:docPr descr="Переход к сохранённым запросам по сводному каталогу" title="" id="27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1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Переход к сохранённым запросам по сводному каталогу</w:t>
      </w:r>
    </w:p>
    <w:bookmarkEnd w:id="29"/>
    <w:bookmarkStart w:id="37" w:name="просмотр-сведений-о-записи"/>
    <w:p>
      <w:pPr>
        <w:pStyle w:val="Heading2"/>
      </w:pPr>
      <w:r>
        <w:t xml:space="preserve">6. Просмотр сведений о записи</w:t>
      </w:r>
    </w:p>
    <w:p>
      <w:pPr>
        <w:pStyle w:val="FirstParagraph"/>
      </w:pPr>
      <w:r>
        <w:t xml:space="preserve">Для найденных записей сводного каталога доступны те же пользовательские действия, что и для записей электронного каталога: просмотр полного описания, аннотаций, ключевых слов и систематических шифров.</w:t>
      </w:r>
    </w:p>
    <w:p>
      <w:pPr>
        <w:pStyle w:val="CaptionedFigure"/>
      </w:pPr>
      <w:r>
        <w:drawing>
          <wp:inline>
            <wp:extent cx="5334000" cy="2647658"/>
            <wp:effectExtent b="0" l="0" r="0" t="0"/>
            <wp:docPr descr="Вызов просмотра полного описания записи сводного каталога" title="" id="31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7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Вызов просмотра полного описания записи сводного каталога</w:t>
      </w:r>
    </w:p>
    <w:p>
      <w:pPr>
        <w:pStyle w:val="BodyText"/>
      </w:pPr>
      <w:r>
        <w:t xml:space="preserve">Полное описание открывается в новой вкладке.</w:t>
      </w:r>
    </w:p>
    <w:p>
      <w:pPr>
        <w:pStyle w:val="CaptionedFigure"/>
      </w:pPr>
      <w:r>
        <w:drawing>
          <wp:inline>
            <wp:extent cx="5334000" cy="1625641"/>
            <wp:effectExtent b="0" l="0" r="0" t="0"/>
            <wp:docPr descr="Просмотр полного описания записи сводного каталога" title="" id="34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5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Просмотр полного описания записи сводного каталога</w:t>
      </w:r>
    </w:p>
    <w:p>
      <w:pPr>
        <w:pStyle w:val="BodyText"/>
      </w:pPr>
      <w:r>
        <w:t xml:space="preserve">Общий порядок просмотра сведений описан в разделе</w:t>
      </w:r>
      <w:r>
        <w:t xml:space="preserve"> </w:t>
      </w:r>
      <w:hyperlink r:id="rId36">
        <w:r>
          <w:rPr>
            <w:rStyle w:val="Hyperlink"/>
          </w:rPr>
          <w:t xml:space="preserve">Просмотр сведений о найденных записях</w:t>
        </w:r>
      </w:hyperlink>
      <w:r>
        <w:t xml:space="preserve">.</w:t>
      </w:r>
    </w:p>
    <w:bookmarkEnd w:id="37"/>
    <w:bookmarkStart w:id="42" w:name="корзина"/>
    <w:p>
      <w:pPr>
        <w:pStyle w:val="Heading2"/>
      </w:pPr>
      <w:r>
        <w:t xml:space="preserve">7. Корзина</w:t>
      </w:r>
    </w:p>
    <w:p>
      <w:pPr>
        <w:pStyle w:val="FirstParagraph"/>
      </w:pPr>
      <w:r>
        <w:t xml:space="preserve">Записи сводного каталога можно добавить в корзину, удалить из корзины и просмотреть на вкладке</w:t>
      </w:r>
      <w:r>
        <w:t xml:space="preserve"> </w:t>
      </w:r>
      <w:r>
        <w:rPr>
          <w:rStyle w:val="VerbatimChar"/>
        </w:rPr>
        <w:t xml:space="preserve">Содержимое корзины</w:t>
      </w:r>
      <w:r>
        <w:t xml:space="preserve">.</w:t>
      </w:r>
    </w:p>
    <w:p>
      <w:pPr>
        <w:pStyle w:val="CaptionedFigure"/>
      </w:pPr>
      <w:r>
        <w:drawing>
          <wp:inline>
            <wp:extent cx="5334000" cy="2710083"/>
            <wp:effectExtent b="0" l="0" r="0" t="0"/>
            <wp:docPr descr="Добавление записи сводного каталога в корзину" title="" id="39" name="Picture"/>
            <a:graphic>
              <a:graphicData uri="http://schemas.openxmlformats.org/drawingml/2006/picture">
                <pic:pic>
                  <pic:nvPicPr>
                    <pic:cNvPr descr="modules/Cataloguer/Help/CataloguerGuide/UnionCatalogActions0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Добавление записи сводного каталога в корзину</w:t>
      </w:r>
    </w:p>
    <w:p>
      <w:pPr>
        <w:pStyle w:val="BodyText"/>
      </w:pPr>
      <w:r>
        <w:t xml:space="preserve">Общий порядок работы с корзиной описан в разделе</w:t>
      </w:r>
      <w:r>
        <w:t xml:space="preserve"> </w:t>
      </w:r>
      <w:hyperlink r:id="rId41">
        <w:r>
          <w:rPr>
            <w:rStyle w:val="Hyperlink"/>
          </w:rPr>
          <w:t xml:space="preserve">Работа с корзиной записей</w:t>
        </w:r>
      </w:hyperlink>
      <w:r>
        <w:t xml:space="preserve">.</w:t>
      </w:r>
    </w:p>
    <w:bookmarkEnd w:id="42"/>
    <w:bookmarkStart w:id="44" w:name="переходы-по-периодике"/>
    <w:p>
      <w:pPr>
        <w:pStyle w:val="Heading2"/>
      </w:pPr>
      <w:r>
        <w:t xml:space="preserve">8. Переходы по периодике</w:t>
      </w:r>
    </w:p>
    <w:p>
      <w:pPr>
        <w:pStyle w:val="FirstParagraph"/>
      </w:pPr>
      <w:r>
        <w:t xml:space="preserve">Для записей периодических изданий в БД сводного каталога доступны переходы между сводным описанием, отдельными номерами и статьями номера. Общий порядок описан в разделе</w:t>
      </w:r>
      <w:r>
        <w:t xml:space="preserve"> </w:t>
      </w:r>
      <w:hyperlink r:id="rId43">
        <w:r>
          <w:rPr>
            <w:rStyle w:val="Hyperlink"/>
          </w:rPr>
          <w:t xml:space="preserve">Переходы по связанным записям периодики</w:t>
        </w:r>
      </w:hyperlink>
      <w:r>
        <w:t xml:space="preserve">.</w:t>
      </w:r>
    </w:p>
    <w:bookmarkEnd w:id="44"/>
    <w:bookmarkEnd w:id="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image" Id="rId19" Target="media/rId1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hyperlink" Id="rId41" Target="?id=Help/Show&amp;m=Cataloguer/Help/CataloguerGuide/BasketActions" TargetMode="External" /><Relationship Type="http://schemas.openxmlformats.org/officeDocument/2006/relationships/hyperlink" Id="rId18" Target="?id=Help/Show&amp;m=Cataloguer/Help/CataloguerGuide/ExportRecords" TargetMode="External" /><Relationship Type="http://schemas.openxmlformats.org/officeDocument/2006/relationships/hyperlink" Id="rId43" Target="?id=Help/Show&amp;m=Cataloguer/Help/CataloguerGuide/PeriodicalLinks" TargetMode="External" /><Relationship Type="http://schemas.openxmlformats.org/officeDocument/2006/relationships/hyperlink" Id="rId36" Target="?id=Help/Show&amp;m=Cataloguer/Help/CataloguerGuide/RecordDetailsAc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?id=Help/Show&amp;m=Cataloguer/Help/CataloguerGuide/BasketActions" TargetMode="External" /><Relationship Type="http://schemas.openxmlformats.org/officeDocument/2006/relationships/hyperlink" Id="rId18" Target="?id=Help/Show&amp;m=Cataloguer/Help/CataloguerGuide/ExportRecords" TargetMode="External" /><Relationship Type="http://schemas.openxmlformats.org/officeDocument/2006/relationships/hyperlink" Id="rId43" Target="?id=Help/Show&amp;m=Cataloguer/Help/CataloguerGuide/PeriodicalLinks" TargetMode="External" /><Relationship Type="http://schemas.openxmlformats.org/officeDocument/2006/relationships/hyperlink" Id="rId36" Target="?id=Help/Show&amp;m=Cataloguer/Help/CataloguerGuide/RecordDetailsAc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БД сводного каталога</dc:title>
  <dc:creator/>
  <cp:keywords/>
  <dcterms:created xsi:type="dcterms:W3CDTF">2026-09-08T23:49:33Z</dcterms:created>
  <dcterms:modified xsi:type="dcterms:W3CDTF">2026-09-08T23:49:33Z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