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[I128-1917] Добавлена возможность использования переменных окружения уровня приложения в языке форматирования ирбис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340ffbac42314e78b5b8549bf5d044fcfc1d3e"/>
    <w:p>
      <w:pPr>
        <w:pStyle w:val="Heading1"/>
      </w:pPr>
      <w:r>
        <w:t xml:space="preserve">[I128-1917] Добавлена возможность использования переменных окружения уровня приложения в языке форматирования ирбис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27.11.2025 12:38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18"/>
    <w:p>
      <w:pPr>
        <w:pStyle w:val="Heading3"/>
      </w:pPr>
      <w:r>
        <w:t xml:space="preserve">1.1. 🔗 Соответствует задача: I128-1918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[I128-1918]</w:t>
        </w:r>
      </w:hyperlink>
      <w:r>
        <w:t xml:space="preserve"> </w:t>
      </w:r>
      <w:r>
        <w:t xml:space="preserve">Возможность использования Переменные окружения уровня приложения в языке форматирования ирбис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1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1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[I128-1917] Добавлена возможность использования переменных окружения уровня приложения в языке форматирования ирбис</dc:title>
  <dc:creator/>
  <cp:keywords/>
  <dcterms:created xsi:type="dcterms:W3CDTF">2026-09-09T00:12:15Z</dcterms:created>
  <dcterms:modified xsi:type="dcterms:W3CDTF">2026-09-09T00:12:15Z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