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Статистические формы в АРМ Каталогизатор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0" w:name="статистические-формы-в-арм-каталогизатор"/>
    <w:p>
      <w:pPr>
        <w:pStyle w:val="Heading1"/>
      </w:pPr>
      <w:r>
        <w:t xml:space="preserve">Статистические формы в АРМ Каталогизатор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Статистические формы используются, когда нужно получить таблицу распределения найденных записей по двум признакам: строкам и столбцам. Например, форма может посчитать, сколько записей относится к каждому виду документа и каждому разделу знаний.</w:t>
      </w:r>
    </w:p>
    <w:p>
      <w:pPr>
        <w:pStyle w:val="BodyText"/>
      </w:pPr>
      <w:r>
        <w:t xml:space="preserve">Форма строится по текущей базе данных и текущему результату поиска в АРМ Каталогизатор. Итог открывается как HTML-файл</w:t>
      </w:r>
      <w:r>
        <w:t xml:space="preserve"> </w:t>
      </w:r>
      <w:r>
        <w:rPr>
          <w:rStyle w:val="VerbatimChar"/>
        </w:rPr>
        <w:t xml:space="preserve">StatFormResult.html</w:t>
      </w:r>
      <w:r>
        <w:t xml:space="preserve">.</w:t>
      </w:r>
    </w:p>
    <w:bookmarkEnd w:id="9"/>
    <w:bookmarkStart w:id="13" w:name="доступность-кнопки"/>
    <w:p>
      <w:pPr>
        <w:pStyle w:val="Heading2"/>
      </w:pPr>
      <w:r>
        <w:t xml:space="preserve">2. Доступность кнопки</w:t>
      </w:r>
    </w:p>
    <w:p>
      <w:pPr>
        <w:pStyle w:val="FirstParagraph"/>
      </w:pPr>
      <w:r>
        <w:t xml:space="preserve">Кнопка</w:t>
      </w:r>
      <w:r>
        <w:t xml:space="preserve"> </w:t>
      </w:r>
      <w:r>
        <w:rPr>
          <w:rStyle w:val="VerbatimChar"/>
        </w:rPr>
        <w:t xml:space="preserve">Статистические формы</w:t>
      </w:r>
      <w:r>
        <w:t xml:space="preserve"> </w:t>
      </w:r>
      <w:r>
        <w:t xml:space="preserve">находится на панели инструментов списка записей рядом с другими групповыми действиями над найденными документами.</w:t>
      </w:r>
    </w:p>
    <w:p>
      <w:pPr>
        <w:pStyle w:val="CaptionedFigure"/>
      </w:pPr>
      <w:r>
        <w:drawing>
          <wp:inline>
            <wp:extent cx="5334000" cy="220049"/>
            <wp:effectExtent b="0" l="0" r="0" t="0"/>
            <wp:docPr descr="Рисунок 1 - Панель инструментов АРМ Каталогизатор" title="Панель инструментов АРМ Каталогизатор" id="11" name="Picture"/>
            <a:graphic>
              <a:graphicData uri="http://schemas.openxmlformats.org/drawingml/2006/picture">
                <pic:pic>
                  <pic:nvPicPr>
                    <pic:cNvPr descr="modules/Cataloguer/Help/CataloguerGuide/img/statistical-forms-toolbar.png" id="12" name="Picture"/>
                    <pic:cNvPicPr>
                      <a:picLocks noChangeArrowheads="1"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2004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Панель инструментов АРМ Каталогизатор</w:t>
      </w:r>
    </w:p>
    <w:p>
      <w:pPr>
        <w:pStyle w:val="BodyText"/>
      </w:pPr>
      <w:r>
        <w:t xml:space="preserve">Если кнопки нет, проверьте у администратора профиль АРМ и право</w:t>
      </w:r>
      <w:r>
        <w:t xml:space="preserve"> </w:t>
      </w:r>
      <w:r>
        <w:rPr>
          <w:rStyle w:val="VerbatimChar"/>
        </w:rPr>
        <w:t xml:space="preserve">ALLOWSTATFORMS</w:t>
      </w:r>
      <w:r>
        <w:t xml:space="preserve">. Без этого права статистические формы не выводятся в панели инструментов.</w:t>
      </w:r>
    </w:p>
    <w:bookmarkEnd w:id="13"/>
    <w:bookmarkStart w:id="14" w:name="порядок-действий"/>
    <w:p>
      <w:pPr>
        <w:pStyle w:val="Heading2"/>
      </w:pPr>
      <w:r>
        <w:t xml:space="preserve">3. Порядок действий</w:t>
      </w:r>
    </w:p>
    <w:p>
      <w:pPr>
        <w:pStyle w:val="Compact"/>
        <w:numPr>
          <w:ilvl w:val="0"/>
          <w:numId w:val="1001"/>
        </w:numPr>
      </w:pPr>
      <w:r>
        <w:t xml:space="preserve">В области поиска найдите записи, по которым нужно построить статистику.</w:t>
      </w:r>
    </w:p>
    <w:p>
      <w:pPr>
        <w:pStyle w:val="Compact"/>
        <w:numPr>
          <w:ilvl w:val="0"/>
          <w:numId w:val="1001"/>
        </w:numPr>
      </w:pPr>
      <w:r>
        <w:t xml:space="preserve">Если нужно обработать только часть результата, отметьте нужные записи в списке.</w:t>
      </w:r>
    </w:p>
    <w:p>
      <w:pPr>
        <w:pStyle w:val="Compact"/>
        <w:numPr>
          <w:ilvl w:val="0"/>
          <w:numId w:val="1001"/>
        </w:numPr>
      </w:pPr>
      <w:r>
        <w:t xml:space="preserve">Нажмите кнопку</w:t>
      </w:r>
      <w:r>
        <w:t xml:space="preserve"> </w:t>
      </w:r>
      <w:r>
        <w:rPr>
          <w:rStyle w:val="VerbatimChar"/>
        </w:rPr>
        <w:t xml:space="preserve">Статистические формы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В окне выбора укажите область обработки:</w:t>
      </w:r>
    </w:p>
    <w:p>
      <w:pPr>
        <w:pStyle w:val="Compact"/>
        <w:numPr>
          <w:ilvl w:val="1"/>
          <w:numId w:val="1002"/>
        </w:numPr>
      </w:pPr>
      <w:r>
        <w:rPr>
          <w:rStyle w:val="VerbatimChar"/>
        </w:rPr>
        <w:t xml:space="preserve">Все</w:t>
      </w:r>
      <w:r>
        <w:t xml:space="preserve"> </w:t>
      </w:r>
      <w:r>
        <w:t xml:space="preserve">- все записи текущего результата поиска;</w:t>
      </w:r>
    </w:p>
    <w:p>
      <w:pPr>
        <w:pStyle w:val="Compact"/>
        <w:numPr>
          <w:ilvl w:val="1"/>
          <w:numId w:val="1002"/>
        </w:numPr>
      </w:pPr>
      <w:r>
        <w:rPr>
          <w:rStyle w:val="VerbatimChar"/>
        </w:rPr>
        <w:t xml:space="preserve">Отмеченные на текущей странице</w:t>
      </w:r>
      <w:r>
        <w:t xml:space="preserve"> </w:t>
      </w:r>
      <w:r>
        <w:t xml:space="preserve">- только отмеченные записи;</w:t>
      </w:r>
    </w:p>
    <w:p>
      <w:pPr>
        <w:pStyle w:val="Compact"/>
        <w:numPr>
          <w:ilvl w:val="1"/>
          <w:numId w:val="1002"/>
        </w:numPr>
      </w:pPr>
      <w:r>
        <w:rPr>
          <w:rStyle w:val="VerbatimChar"/>
        </w:rPr>
        <w:t xml:space="preserve">Кроме отмеченных</w:t>
      </w:r>
      <w:r>
        <w:t xml:space="preserve"> </w:t>
      </w:r>
      <w:r>
        <w:t xml:space="preserve">- все записи результата, кроме отмеченных.</w:t>
      </w:r>
    </w:p>
    <w:p>
      <w:pPr>
        <w:pStyle w:val="Compact"/>
        <w:numPr>
          <w:ilvl w:val="0"/>
          <w:numId w:val="1001"/>
        </w:numPr>
      </w:pPr>
      <w:r>
        <w:t xml:space="preserve">В поле</w:t>
      </w:r>
      <w:r>
        <w:t xml:space="preserve"> </w:t>
      </w:r>
      <w:r>
        <w:rPr>
          <w:rStyle w:val="VerbatimChar"/>
        </w:rPr>
        <w:t xml:space="preserve">Статистическая форма</w:t>
      </w:r>
      <w:r>
        <w:t xml:space="preserve"> </w:t>
      </w:r>
      <w:r>
        <w:t xml:space="preserve">выберите нужную форму из справочника.</w:t>
      </w:r>
    </w:p>
    <w:p>
      <w:pPr>
        <w:pStyle w:val="Compact"/>
        <w:numPr>
          <w:ilvl w:val="0"/>
          <w:numId w:val="1001"/>
        </w:numPr>
      </w:pPr>
      <w:r>
        <w:t xml:space="preserve">Если выбранная форма требует параметры, заполните появившийся блок</w:t>
      </w:r>
      <w:r>
        <w:t xml:space="preserve"> </w:t>
      </w:r>
      <w:r>
        <w:rPr>
          <w:rStyle w:val="VerbatimChar"/>
        </w:rPr>
        <w:t xml:space="preserve">Параметры</w:t>
      </w:r>
      <w:r>
        <w:t xml:space="preserve">. Это может быть период, вид документа, подразделение или другой фильтр, заданный в рабочем листе формы.</w:t>
      </w:r>
    </w:p>
    <w:p>
      <w:pPr>
        <w:pStyle w:val="Compact"/>
        <w:numPr>
          <w:ilvl w:val="0"/>
          <w:numId w:val="1001"/>
        </w:numPr>
      </w:pPr>
      <w:r>
        <w:t xml:space="preserve">Нажмите</w:t>
      </w:r>
      <w:r>
        <w:t xml:space="preserve"> </w:t>
      </w:r>
      <w:r>
        <w:rPr>
          <w:rStyle w:val="VerbatimChar"/>
        </w:rPr>
        <w:t xml:space="preserve">Ok</w:t>
      </w:r>
      <w:r>
        <w:t xml:space="preserve">.</w:t>
      </w:r>
    </w:p>
    <w:p>
      <w:pPr>
        <w:pStyle w:val="FirstParagraph"/>
      </w:pPr>
      <w:r>
        <w:t xml:space="preserve">Если выбрана обработка всех записей базы без поискового ограничения, система дополнительно просит подтвердить выполнение операции над всей базой.</w:t>
      </w:r>
    </w:p>
    <w:bookmarkEnd w:id="14"/>
    <w:bookmarkStart w:id="15" w:name="результат"/>
    <w:p>
      <w:pPr>
        <w:pStyle w:val="Heading2"/>
      </w:pPr>
      <w:r>
        <w:t xml:space="preserve">4. Результат</w:t>
      </w:r>
    </w:p>
    <w:p>
      <w:pPr>
        <w:pStyle w:val="FirstParagraph"/>
      </w:pPr>
      <w:r>
        <w:t xml:space="preserve">После выполнения система формирует файл</w:t>
      </w:r>
      <w:r>
        <w:t xml:space="preserve"> </w:t>
      </w:r>
      <w:r>
        <w:rPr>
          <w:rStyle w:val="VerbatimChar"/>
        </w:rPr>
        <w:t xml:space="preserve">StatFormResult.html</w:t>
      </w:r>
      <w:r>
        <w:t xml:space="preserve"> </w:t>
      </w:r>
      <w:r>
        <w:t xml:space="preserve">и показывает ссылку для его открытия. В файле выводится заголовок формы, таблица распределения по строкам и столбцам, итоги по строкам, итоги по столбцам и общий итог.</w:t>
      </w:r>
    </w:p>
    <w:p>
      <w:pPr>
        <w:pStyle w:val="BodyText"/>
      </w:pPr>
      <w:r>
        <w:t xml:space="preserve">Значения строк и столбцов вычисляются форматами формы. Если формат возвращает значение, которого нет в подключенном справочнике, оно попадает в строку или столбец</w:t>
      </w:r>
      <w:r>
        <w:t xml:space="preserve"> </w:t>
      </w:r>
      <w:r>
        <w:rPr>
          <w:rStyle w:val="VerbatimChar"/>
        </w:rPr>
        <w:t xml:space="preserve">*</w:t>
      </w:r>
      <w:r>
        <w:t xml:space="preserve">, если такой ключ предусмотрен в справочнике.</w:t>
      </w:r>
    </w:p>
    <w:bookmarkEnd w:id="15"/>
    <w:bookmarkStart w:id="17" w:name="настройка-форм"/>
    <w:p>
      <w:pPr>
        <w:pStyle w:val="Heading2"/>
      </w:pPr>
      <w:r>
        <w:t xml:space="preserve">5. Настройка форм</w:t>
      </w:r>
    </w:p>
    <w:p>
      <w:pPr>
        <w:pStyle w:val="FirstParagraph"/>
      </w:pPr>
      <w:r>
        <w:t xml:space="preserve">Список доступных форм обычно берется из справочника</w:t>
      </w:r>
      <w:r>
        <w:t xml:space="preserve"> </w:t>
      </w:r>
      <w:r>
        <w:rPr>
          <w:rStyle w:val="VerbatimChar"/>
        </w:rPr>
        <w:t xml:space="preserve">stf.mnu</w:t>
      </w:r>
      <w:r>
        <w:t xml:space="preserve">. Каждая форма описывается файлом</w:t>
      </w:r>
      <w:r>
        <w:t xml:space="preserve"> </w:t>
      </w:r>
      <w:r>
        <w:rPr>
          <w:rStyle w:val="VerbatimChar"/>
        </w:rPr>
        <w:t xml:space="preserve">.STF</w:t>
      </w:r>
      <w:r>
        <w:t xml:space="preserve"> </w:t>
      </w:r>
      <w:r>
        <w:t xml:space="preserve">в каталоге базы данных. Описание формы задает:</w:t>
      </w:r>
    </w:p>
    <w:p>
      <w:pPr>
        <w:pStyle w:val="Compact"/>
        <w:numPr>
          <w:ilvl w:val="0"/>
          <w:numId w:val="1003"/>
        </w:numPr>
      </w:pPr>
      <w:r>
        <w:t xml:space="preserve">формат для вычисления строки;</w:t>
      </w:r>
    </w:p>
    <w:p>
      <w:pPr>
        <w:pStyle w:val="Compact"/>
        <w:numPr>
          <w:ilvl w:val="0"/>
          <w:numId w:val="1003"/>
        </w:numPr>
      </w:pPr>
      <w:r>
        <w:t xml:space="preserve">справочник строк</w:t>
      </w:r>
      <w:r>
        <w:t xml:space="preserve"> </w:t>
      </w:r>
      <w:r>
        <w:rPr>
          <w:rStyle w:val="VerbatimChar"/>
        </w:rPr>
        <w:t xml:space="preserve">MNU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формат для вычисления столбца;</w:t>
      </w:r>
    </w:p>
    <w:p>
      <w:pPr>
        <w:pStyle w:val="Compact"/>
        <w:numPr>
          <w:ilvl w:val="0"/>
          <w:numId w:val="1003"/>
        </w:numPr>
      </w:pPr>
      <w:r>
        <w:t xml:space="preserve">справочник столбцов</w:t>
      </w:r>
      <w:r>
        <w:t xml:space="preserve"> </w:t>
      </w:r>
      <w:r>
        <w:rPr>
          <w:rStyle w:val="VerbatimChar"/>
        </w:rPr>
        <w:t xml:space="preserve">MNU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рабочий лист</w:t>
      </w:r>
      <w:r>
        <w:t xml:space="preserve"> </w:t>
      </w:r>
      <w:r>
        <w:rPr>
          <w:rStyle w:val="VerbatimChar"/>
        </w:rPr>
        <w:t xml:space="preserve">WSS</w:t>
      </w:r>
      <w:r>
        <w:t xml:space="preserve"> </w:t>
      </w:r>
      <w:r>
        <w:t xml:space="preserve">для параметров, если они нужны;</w:t>
      </w:r>
    </w:p>
    <w:p>
      <w:pPr>
        <w:pStyle w:val="Compact"/>
        <w:numPr>
          <w:ilvl w:val="0"/>
          <w:numId w:val="1003"/>
        </w:numPr>
      </w:pPr>
      <w:r>
        <w:t xml:space="preserve">формат заголовка результата.</w:t>
      </w:r>
    </w:p>
    <w:p>
      <w:pPr>
        <w:pStyle w:val="FirstParagraph"/>
      </w:pPr>
      <w:r>
        <w:t xml:space="preserve">Технические детали формата</w:t>
      </w:r>
      <w:r>
        <w:t xml:space="preserve"> </w:t>
      </w:r>
      <w:r>
        <w:rPr>
          <w:rStyle w:val="VerbatimChar"/>
        </w:rPr>
        <w:t xml:space="preserve">.STF</w:t>
      </w:r>
      <w:r>
        <w:t xml:space="preserve">, требования к справочникам и обработку ключа</w:t>
      </w:r>
      <w:r>
        <w:t xml:space="preserve"> </w:t>
      </w:r>
      <w:r>
        <w:rPr>
          <w:rStyle w:val="VerbatimChar"/>
        </w:rPr>
        <w:t xml:space="preserve">*</w:t>
      </w:r>
      <w:r>
        <w:t xml:space="preserve"> </w:t>
      </w:r>
      <w:r>
        <w:t xml:space="preserve">см. в разделе</w:t>
      </w:r>
      <w:r>
        <w:t xml:space="preserve"> </w:t>
      </w:r>
      <w:hyperlink r:id="rId16">
        <w:r>
          <w:rPr>
            <w:rStyle w:val="Hyperlink"/>
          </w:rPr>
          <w:t xml:space="preserve">Статистические формы</w:t>
        </w:r>
      </w:hyperlink>
      <w:r>
        <w:t xml:space="preserve">.</w:t>
      </w:r>
    </w:p>
    <w:bookmarkEnd w:id="17"/>
    <w:bookmarkStart w:id="19" w:name="отличие-от-выходных-форм"/>
    <w:p>
      <w:pPr>
        <w:pStyle w:val="Heading2"/>
      </w:pPr>
      <w:r>
        <w:t xml:space="preserve">6. Отличие от выходных форм</w:t>
      </w:r>
    </w:p>
    <w:p>
      <w:pPr>
        <w:pStyle w:val="FirstParagraph"/>
      </w:pPr>
      <w:r>
        <w:rPr>
          <w:rStyle w:val="VerbatimChar"/>
        </w:rPr>
        <w:t xml:space="preserve">Статистические формы</w:t>
      </w:r>
      <w:r>
        <w:t xml:space="preserve"> </w:t>
      </w:r>
      <w:r>
        <w:t xml:space="preserve">строят сводную таблицу по группе записей.</w:t>
      </w:r>
      <w:r>
        <w:t xml:space="preserve"> </w:t>
      </w:r>
      <w:r>
        <w:rPr>
          <w:rStyle w:val="VerbatimChar"/>
        </w:rPr>
        <w:t xml:space="preserve">Выходные формы</w:t>
      </w:r>
      <w:r>
        <w:t xml:space="preserve"> </w:t>
      </w:r>
      <w:r>
        <w:t xml:space="preserve">выводят сами записи в выбранном представлении. Если нужно напечатать список найденных документов, используйте</w:t>
      </w:r>
      <w:r>
        <w:t xml:space="preserve"> </w:t>
      </w:r>
      <w:hyperlink r:id="rId18">
        <w:r>
          <w:rPr>
            <w:rStyle w:val="Hyperlink"/>
          </w:rPr>
          <w:t xml:space="preserve">вывод записей на печать</w:t>
        </w:r>
      </w:hyperlink>
      <w:r>
        <w:t xml:space="preserve"> </w:t>
      </w:r>
      <w:r>
        <w:t xml:space="preserve">или выходные формы.</w:t>
      </w:r>
    </w:p>
    <w:bookmarkEnd w:id="19"/>
    <w:bookmarkEnd w:id="2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0" Target="media/rId10.png" /><Relationship Type="http://schemas.openxmlformats.org/officeDocument/2006/relationships/hyperlink" Id="rId18" Target="?id=Help/Show&amp;m=Cataloguer/Help/CataloguerGuide/PrintRecords" TargetMode="External" /><Relationship Type="http://schemas.openxmlformats.org/officeDocument/2006/relationships/hyperlink" Id="rId16" Target="?id=Help/Show&amp;m=TabForms/Help/StatisticalForm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8" Target="?id=Help/Show&amp;m=Cataloguer/Help/CataloguerGuide/PrintRecords" TargetMode="External" /><Relationship Type="http://schemas.openxmlformats.org/officeDocument/2006/relationships/hyperlink" Id="rId16" Target="?id=Help/Show&amp;m=TabForms/Help/StatisticalForm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Статистические формы в АРМ Каталогизатор</dc:title>
  <dc:creator/>
  <cp:keywords/>
  <dcterms:created xsi:type="dcterms:W3CDTF">2026-09-09T00:20:51Z</dcterms:created>
  <dcterms:modified xsi:type="dcterms:W3CDTF">2026-09-09T00:20:51Z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