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Имя СВОДНОЙ БД мероприятий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имя-сводной-бд-мероприятий"/>
    <w:p>
      <w:pPr>
        <w:pStyle w:val="Heading1"/>
      </w:pPr>
      <w:r>
        <w:t xml:space="preserve">Имя СВОДНОЙ БД мероприятий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eventdbn</w:t>
      </w:r>
      <w:r>
        <w:t xml:space="preserve"> </w:t>
      </w:r>
      <w:r>
        <w:t xml:space="preserve">задает имя базы данных, в которой модуль</w:t>
      </w:r>
      <w:r>
        <w:t xml:space="preserve"> </w:t>
      </w:r>
      <w:hyperlink r:id="rId9">
        <w:r>
          <w:rPr>
            <w:rStyle w:val="Hyperlink"/>
          </w:rPr>
          <w:t xml:space="preserve">Сводный каталог</w:t>
        </w:r>
      </w:hyperlink>
      <w:r>
        <w:t xml:space="preserve"> </w:t>
      </w:r>
      <w:r>
        <w:t xml:space="preserve">хранит сводные записи мероприятий.</w:t>
      </w:r>
    </w:p>
    <w:p>
      <w:pPr>
        <w:pStyle w:val="BodyText"/>
      </w:pPr>
      <w:r>
        <w:t xml:space="preserve">По умолчанию используется имя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.</w:t>
      </w:r>
    </w:p>
    <w:p>
      <w:pPr>
        <w:pStyle w:val="BodyText"/>
      </w:pPr>
      <w:r>
        <w:t xml:space="preserve">Эта база отличается от рабочей БД модуля</w:t>
      </w:r>
      <w:r>
        <w:t xml:space="preserve"> </w:t>
      </w:r>
      <w:hyperlink r:id="rId10">
        <w:r>
          <w:rPr>
            <w:rStyle w:val="Hyperlink"/>
          </w:rPr>
          <w:t xml:space="preserve">Мероприятия</w:t>
        </w:r>
      </w:hyperlink>
      <w:r>
        <w:t xml:space="preserve">. Рабочие БД мероприятий подключаются к организации как источники данных, а</w:t>
      </w:r>
      <w:r>
        <w:t xml:space="preserve"> </w:t>
      </w:r>
      <w:r>
        <w:rPr>
          <w:rStyle w:val="VerbatimChar"/>
        </w:rPr>
        <w:t xml:space="preserve">eventdbn</w:t>
      </w:r>
      <w:r>
        <w:t xml:space="preserve"> </w:t>
      </w:r>
      <w:r>
        <w:t xml:space="preserve">указывает отдельную сводную БД, куда попадают объединенные записи с типом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.</w:t>
      </w:r>
    </w:p>
    <w:p>
      <w:pPr>
        <w:pStyle w:val="BodyText"/>
      </w:pPr>
      <w:r>
        <w:t xml:space="preserve">Имя БД задается латинскими заглавными буквами. Допускается использовать цифры, но не в начале имени. Имя должно быть уникальным в пределах одного сервера ИРБИС64.</w:t>
      </w:r>
    </w:p>
    <w:bookmarkStart w:id="11" w:name="как-выбирается-сводная-бд"/>
    <w:p>
      <w:pPr>
        <w:pStyle w:val="Heading2"/>
      </w:pPr>
      <w:r>
        <w:t xml:space="preserve">1. Как выбирается сводная БД</w:t>
      </w:r>
    </w:p>
    <w:p>
      <w:pPr>
        <w:pStyle w:val="FirstParagraph"/>
      </w:pPr>
      <w:r>
        <w:t xml:space="preserve">При загрузке записи-источника модуль сохраняет в таблице слияний значение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. Для записей мероприятий это значение должно быть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.</w:t>
      </w:r>
    </w:p>
    <w:p>
      <w:pPr>
        <w:pStyle w:val="BodyText"/>
      </w:pPr>
      <w:r>
        <w:t xml:space="preserve">Дальше модуль</w:t>
      </w:r>
      <w:r>
        <w:t xml:space="preserve"> </w:t>
      </w:r>
      <w:hyperlink r:id="rId9">
        <w:r>
          <w:rPr>
            <w:rStyle w:val="Hyperlink"/>
          </w:rPr>
          <w:t xml:space="preserve">Сводный каталог</w:t>
        </w:r>
      </w:hyperlink>
      <w:r>
        <w:t xml:space="preserve"> </w:t>
      </w:r>
      <w:r>
        <w:t xml:space="preserve">выбирает сводную БД по типу записи: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RDR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RDRU</w:t>
      </w:r>
      <w:r>
        <w:t xml:space="preserve"> </w:t>
      </w:r>
      <w:r>
        <w:t xml:space="preserve">направляются в параметр</w:t>
      </w:r>
      <w:r>
        <w:t xml:space="preserve"> </w:t>
      </w:r>
      <w:r>
        <w:rPr>
          <w:rStyle w:val="VerbatimChar"/>
        </w:rPr>
        <w:t xml:space="preserve">rdrdbn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Event</w:t>
      </w:r>
      <w:r>
        <w:t xml:space="preserve"> </w:t>
      </w:r>
      <w:r>
        <w:t xml:space="preserve">направляется в параметр</w:t>
      </w:r>
      <w:r>
        <w:t xml:space="preserve"> </w:t>
      </w:r>
      <w:r>
        <w:rPr>
          <w:rStyle w:val="VerbatimChar"/>
        </w:rPr>
        <w:t xml:space="preserve">eventdbn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остальные поддерживаемые типы записей направляются в 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.</w:t>
      </w:r>
    </w:p>
    <w:p>
      <w:pPr>
        <w:pStyle w:val="FirstParagraph"/>
      </w:pPr>
      <w:r>
        <w:t xml:space="preserve">Для обработки мероприятий должен быть включен параметр</w:t>
      </w:r>
      <w:r>
        <w:t xml:space="preserve"> </w:t>
      </w:r>
      <w:r>
        <w:rPr>
          <w:rStyle w:val="VerbatimChar"/>
        </w:rPr>
        <w:t xml:space="preserve">useEVENT</w:t>
      </w:r>
      <w:r>
        <w:t xml:space="preserve"> </w:t>
      </w:r>
      <w:r>
        <w:t xml:space="preserve">в настройках этапа 5. На этом этапе проверяется, что запись имеет тип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содержит шифр в поле</w:t>
      </w:r>
      <w:r>
        <w:t xml:space="preserve"> </w:t>
      </w:r>
      <w:r>
        <w:rPr>
          <w:rStyle w:val="VerbatimChar"/>
        </w:rPr>
        <w:t xml:space="preserve">903</w:t>
      </w:r>
      <w:r>
        <w:t xml:space="preserve">, название в</w:t>
      </w:r>
      <w:r>
        <w:t xml:space="preserve"> </w:t>
      </w:r>
      <w:r>
        <w:rPr>
          <w:rStyle w:val="VerbatimChar"/>
        </w:rPr>
        <w:t xml:space="preserve">972^A</w:t>
      </w:r>
      <w:r>
        <w:t xml:space="preserve">, дату начала публикации в</w:t>
      </w:r>
      <w:r>
        <w:t xml:space="preserve"> </w:t>
      </w:r>
      <w:r>
        <w:rPr>
          <w:rStyle w:val="VerbatimChar"/>
        </w:rPr>
        <w:t xml:space="preserve">30^A</w:t>
      </w:r>
      <w:r>
        <w:t xml:space="preserve"> </w:t>
      </w:r>
      <w:r>
        <w:t xml:space="preserve">и не содержит признака пропуска публикации в</w:t>
      </w:r>
      <w:r>
        <w:t xml:space="preserve"> </w:t>
      </w:r>
      <w:r>
        <w:rPr>
          <w:rStyle w:val="VerbatimChar"/>
        </w:rPr>
        <w:t xml:space="preserve">972^Y</w:t>
      </w:r>
      <w:r>
        <w:t xml:space="preserve">.</w:t>
      </w:r>
    </w:p>
    <w:bookmarkEnd w:id="11"/>
    <w:bookmarkStart w:id="12" w:name="базы-источники-мероприятий"/>
    <w:p>
      <w:pPr>
        <w:pStyle w:val="Heading2"/>
      </w:pPr>
      <w:r>
        <w:t xml:space="preserve">2. Базы-источники мероприятий</w:t>
      </w:r>
    </w:p>
    <w:p>
      <w:pPr>
        <w:pStyle w:val="FirstParagraph"/>
      </w:pPr>
      <w:r>
        <w:t xml:space="preserve">БД, из которых загружаются мероприятия, задаются в записи организации в блоке</w:t>
      </w:r>
      <w:r>
        <w:t xml:space="preserve"> </w:t>
      </w:r>
      <w:r>
        <w:t xml:space="preserve">“Источники данных”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БД Мероприятий организации</w:t>
      </w:r>
      <w:r>
        <w:t xml:space="preserve">. При запуске загрузки</w:t>
      </w:r>
      <w:r>
        <w:t xml:space="preserve"> </w:t>
      </w:r>
      <w:r>
        <w:rPr>
          <w:rStyle w:val="VerbatimChar"/>
        </w:rPr>
        <w:t xml:space="preserve">CSpider/DownloadAllClientDb</w:t>
      </w:r>
      <w:r>
        <w:t xml:space="preserve"> </w:t>
      </w:r>
      <w:r>
        <w:t xml:space="preserve">такие БД обрабатываются вместе с БД электронного каталога и БД пользователей организации.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CSpider" TargetMode="External" /><Relationship Type="http://schemas.openxmlformats.org/officeDocument/2006/relationships/hyperlink" Id="rId10" Target="?id=Help/Show&amp;m=Help/ModuleRoot&amp;module=Even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CSpider" TargetMode="External" /><Relationship Type="http://schemas.openxmlformats.org/officeDocument/2006/relationships/hyperlink" Id="rId10" Target="?id=Help/Show&amp;m=Help/ModuleRoot&amp;module=Even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Имя СВОДНОЙ БД мероприятий</dc:title>
  <dc:creator/>
  <cp:keywords/>
  <dcterms:created xsi:type="dcterms:W3CDTF">2026-09-08T10:37:04Z</dcterms:created>
  <dcterms:modified xsi:type="dcterms:W3CDTF">2026-09-08T10:37:04Z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