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описывает объектный тип записей для аналитического описания юридических, директивных и нормативно-технических документов.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 отображения записи, интерфейсных списков и показа обложки.</w:t>
            </w:r>
          </w:p>
        </w:tc>
      </w:tr>
    </w:tbl>
    <w:p>
      <w:pPr>
        <w:pStyle w:val="BodyText"/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применяется для статей из юридических, директивных и нормативно-технических документов. Методические правила заполнения такого рабочего листа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Специфика заполнения отдельных полей</w:t>
        </w:r>
      </w:hyperlink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документа с использованием полей автора, заглавия, выходных данных, содержания и связи с источником.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Компактное отображение через общий интерфейсный формат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showcover</w:t>
            </w:r>
          </w:p>
        </w:tc>
        <w:tc>
          <w:tcPr/>
          <w:p>
            <w:pPr>
              <w:pStyle w:val="Compact"/>
            </w:pPr>
            <w:r>
              <w:t xml:space="preserve">Получение ссылки на изображение обложки или связанного внешнего объекта из полей</w:t>
            </w:r>
            <w:r>
              <w:t xml:space="preserve"> </w:t>
            </w:r>
            <w:r>
              <w:rPr>
                <w:rStyle w:val="VerbatimChar"/>
              </w:rPr>
              <w:t xml:space="preserve">953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Пользовательский ввод и проверка записей выполняются через общие механизмы каталогизации, полевой редактор и рабочие листы базы данных.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BibliographicRecords/SpecificFiel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BibliographicRecords/SpecificFiel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2026-09-09T00:09:34Z</dcterms:created>
  <dcterms:modified xsi:type="dcterms:W3CDTF">2026-09-09T00:09:34Z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