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[I128-2168] Перенос внешних функций модуля i128f в класс модуля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1c09a79af4baf45852350c4201827ae5db062a3"/>
    <w:p>
      <w:pPr>
        <w:pStyle w:val="Heading1"/>
      </w:pPr>
      <w:r>
        <w:t xml:space="preserve">[I128-2168] Перенос внешних функций модуля i128f в класс модуля i128f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Ускорение работы функций ядра системы.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80"/>
    <w:p>
      <w:pPr>
        <w:pStyle w:val="Heading3"/>
      </w:pPr>
      <w:r>
        <w:t xml:space="preserve">1.1. 🔗 Соответствует задача: I128-2180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[I128-2180]</w:t>
        </w:r>
      </w:hyperlink>
      <w:r>
        <w:t xml:space="preserve"> </w:t>
      </w:r>
      <w:r>
        <w:t xml:space="preserve">Перенос внешних функций модуля i128f в класс модуля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80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80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[I128-2168] Перенос внешних функций модуля i128f в класс модуля i128f</dc:title>
  <dc:creator/>
  <cp:keywords/>
  <dcterms:created xsi:type="dcterms:W3CDTF">2026-09-04T10:34:28Z</dcterms:created>
  <dcterms:modified xsi:type="dcterms:W3CDTF">2026-09-04T10:34:28Z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