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[I128-2389] Документировать действия явной паузы и запуска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30230ad2f78ccd4e260ec010e74b6b859a3cc1"/>
    <w:p>
      <w:pPr>
        <w:pStyle w:val="Heading1"/>
      </w:pPr>
      <w:r>
        <w:t xml:space="preserve">[I128-2389] Документировать действия явной паузы и запуска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в разделе управления состоянием очереди добавлено описание прямых действий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уточняет разницу между кнопкой-переключателем на панели мониторинга и прямыми действиями для автоматизированных сценариев: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гарантированно переводит очередь в состояние паузы, а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 </w:t>
      </w:r>
      <w:r>
        <w:t xml:space="preserve">гарантированно возобновляет обработку задач.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70"/>
    <w:p>
      <w:pPr>
        <w:pStyle w:val="Heading3"/>
      </w:pPr>
      <w:r>
        <w:t xml:space="preserve">1.1. 🔗 Соответствует задача: I128-2370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[I128-2370]</w:t>
        </w:r>
      </w:hyperlink>
      <w:r>
        <w:t xml:space="preserve"> </w:t>
      </w:r>
      <w:r>
        <w:t xml:space="preserve">Явное управление состоянием паузы в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[I128-2389] Документировать действия явной паузы и запуска очереди задач</dc:title>
  <dc:creator/>
  <cp:keywords/>
  <dcterms:created xsi:type="dcterms:W3CDTF">2026-09-09T00:12:17Z</dcterms:created>
  <dcterms:modified xsi:type="dcterms:W3CDTF">2026-09-09T00:12:17Z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