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Отладка автовводов в редакторе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отладка-автовводов-в-редакторе-форматов"/>
    <w:p>
      <w:pPr>
        <w:pStyle w:val="Heading1"/>
      </w:pPr>
      <w:r>
        <w:t xml:space="preserve">Отладка автовводов в редакторе форматов</w:t>
      </w:r>
    </w:p>
    <w:p>
      <w:pPr>
        <w:pStyle w:val="FirstParagraph"/>
      </w:pPr>
      <w:r>
        <w:t xml:space="preserve">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 можно проверять, как глобальное задание выполняет автовводы при сохранении основной записи и записей, созданных или открытых операторами глобальной корректировки.</w:t>
      </w:r>
    </w:p>
    <w:p>
      <w:pPr>
        <w:pStyle w:val="BodyText"/>
      </w:pPr>
      <w:r>
        <w:t xml:space="preserve">Для этого в форме отладчика глобальных заданий используются два флажка: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Флажок</w:t>
            </w:r>
          </w:p>
        </w:tc>
        <w:tc>
          <w:tcPr/>
          <w:p>
            <w:pPr>
              <w:pStyle w:val="Compact"/>
            </w:pPr>
            <w:r>
              <w:t xml:space="preserve">Что включает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Автоввод основной</w:t>
            </w:r>
          </w:p>
        </w:tc>
        <w:tc>
          <w:tcPr/>
          <w:p>
            <w:pPr>
              <w:pStyle w:val="Compact"/>
            </w:pPr>
            <w:r>
              <w:t xml:space="preserve">Выполнение автоввода для основной записи после завершения основного глобального задания.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Автоввод вторичный</w:t>
            </w:r>
          </w:p>
        </w:tc>
        <w:tc>
          <w:tcPr/>
          <w:p>
            <w:pPr>
              <w:pStyle w:val="Compact"/>
            </w:pPr>
            <w:r>
              <w:t xml:space="preserve">Выполнение автовводов для вторичных записей, которые обрабатываются через</w:t>
            </w:r>
            <w:r>
              <w:t xml:space="preserve"> </w:t>
            </w:r>
            <w:r>
              <w:rPr>
                <w:rStyle w:val="VerbatimChar"/>
              </w:rPr>
              <w:t xml:space="preserve">CORREC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NEWMFN</w:t>
            </w:r>
            <w:r>
              <w:t xml:space="preserve">.</w:t>
            </w:r>
          </w:p>
        </w:tc>
      </w:tr>
    </w:tbl>
    <w:bookmarkStart w:id="9" w:name="основной-автоввод"/>
    <w:p>
      <w:pPr>
        <w:pStyle w:val="Heading2"/>
      </w:pPr>
      <w:r>
        <w:t xml:space="preserve">1. Основной автоввод</w:t>
      </w:r>
    </w:p>
    <w:p>
      <w:pPr>
        <w:pStyle w:val="FirstParagraph"/>
      </w:pPr>
      <w:r>
        <w:t xml:space="preserve">Флажок</w:t>
      </w:r>
      <w:r>
        <w:t xml:space="preserve"> </w:t>
      </w:r>
      <w:r>
        <w:rPr>
          <w:rStyle w:val="VerbatimChar"/>
        </w:rPr>
        <w:t xml:space="preserve">Автоввод основной</w:t>
      </w:r>
      <w:r>
        <w:t xml:space="preserve"> </w:t>
      </w:r>
      <w:r>
        <w:t xml:space="preserve">нужен, когда требуется проверить полный сценарий сохранения текущей записи: сначала выполняется основное GBL-задание, затем в том же контексте запускается файл автоввода, настроенный для базы.</w:t>
      </w:r>
    </w:p>
    <w:p>
      <w:pPr>
        <w:pStyle w:val="BodyText"/>
      </w:pPr>
      <w:r>
        <w:t xml:space="preserve">Если отлаживается сам файл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или нужно проверить только команды основного задания без последующего автоввода, этот флажок следует снять. Так проще отделить результат основного GBL-сценария от изменений, которые добавляет автоввод.</w:t>
      </w:r>
    </w:p>
    <w:p>
      <w:pPr>
        <w:pStyle w:val="BodyText"/>
      </w:pPr>
      <w:r>
        <w:t xml:space="preserve">Чтобы перейти из основного задания в автоввод, выполняйте сценарий клавишей</w:t>
      </w:r>
      <w:r>
        <w:t xml:space="preserve"> </w:t>
      </w:r>
      <w:r>
        <w:rPr>
          <w:rStyle w:val="VerbatimChar"/>
        </w:rPr>
        <w:t xml:space="preserve">F7</w:t>
      </w:r>
      <w:r>
        <w:t xml:space="preserve"> </w:t>
      </w:r>
      <w:r>
        <w:t xml:space="preserve">на последних строках основного GBL-задания. Переход выполняется так же, как при отладке вложенных форматов.</w:t>
      </w:r>
    </w:p>
    <w:bookmarkEnd w:id="9"/>
    <w:bookmarkStart w:id="10" w:name="вторичный-автоввод"/>
    <w:p>
      <w:pPr>
        <w:pStyle w:val="Heading2"/>
      </w:pPr>
      <w:r>
        <w:t xml:space="preserve">2. Вторичный автоввод</w:t>
      </w:r>
    </w:p>
    <w:p>
      <w:pPr>
        <w:pStyle w:val="FirstParagraph"/>
      </w:pPr>
      <w:r>
        <w:t xml:space="preserve">Флажок</w:t>
      </w:r>
      <w:r>
        <w:t xml:space="preserve"> </w:t>
      </w:r>
      <w:r>
        <w:rPr>
          <w:rStyle w:val="VerbatimChar"/>
        </w:rPr>
        <w:t xml:space="preserve">Автоввод вторичный</w:t>
      </w:r>
      <w:r>
        <w:t xml:space="preserve"> </w:t>
      </w:r>
      <w:r>
        <w:t xml:space="preserve">относится к записям, которые создаются или открываются внутри GBL-сценария операторами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NEWMFN</w:t>
      </w:r>
      <w:r>
        <w:t xml:space="preserve">. После оператора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такая запись сохраняется в отдельном контексте; если флажок включен, для нее выполняется собственный автоввод.</w:t>
      </w:r>
    </w:p>
    <w:p>
      <w:pPr>
        <w:pStyle w:val="BodyText"/>
      </w:pPr>
      <w:r>
        <w:t xml:space="preserve">Чтобы перейти в автоввод вторичной записи, остановитесь на операторе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блока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NEWMFN</w:t>
      </w:r>
      <w:r>
        <w:t xml:space="preserve"> </w:t>
      </w:r>
      <w:r>
        <w:t xml:space="preserve">и нажмите</w:t>
      </w:r>
      <w:r>
        <w:t xml:space="preserve"> </w:t>
      </w:r>
      <w:r>
        <w:rPr>
          <w:rStyle w:val="VerbatimChar"/>
        </w:rPr>
        <w:t xml:space="preserve">F7</w:t>
      </w:r>
      <w:r>
        <w:t xml:space="preserve">. Для таких операторов точка остановки на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используется как место входа в последующий автоввод.</w:t>
      </w:r>
    </w:p>
    <w:bookmarkEnd w:id="10"/>
    <w:bookmarkStart w:id="11" w:name="флк-после-автоввода"/>
    <w:p>
      <w:pPr>
        <w:pStyle w:val="Heading2"/>
      </w:pPr>
      <w:r>
        <w:t xml:space="preserve">3. ФЛК после автоввода</w:t>
      </w:r>
    </w:p>
    <w:p>
      <w:pPr>
        <w:pStyle w:val="FirstParagraph"/>
      </w:pPr>
      <w:r>
        <w:t xml:space="preserve">Сценарии формально-логического контроля после автоввода вторичных записей по умолчанию не выполняются в отладчике. Для проверки этого шага в INI-файле редактора форматов включите параметр:</w:t>
      </w:r>
    </w:p>
    <w:p>
      <w:pPr>
        <w:pStyle w:val="SourceCode"/>
      </w:pPr>
      <w:r>
        <w:rPr>
          <w:rStyle w:val="KeywordTok"/>
        </w:rPr>
        <w:t xml:space="preserve">[DEBUG]</w:t>
      </w:r>
      <w:r>
        <w:br/>
      </w:r>
      <w:r>
        <w:rPr>
          <w:rStyle w:val="DataTypeTok"/>
        </w:rPr>
        <w:t xml:space="preserve">EXEC_FLC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После включения параметра в ФЛК можно перейти клавишей</w:t>
      </w:r>
      <w:r>
        <w:t xml:space="preserve"> </w:t>
      </w:r>
      <w:r>
        <w:rPr>
          <w:rStyle w:val="VerbatimChar"/>
        </w:rPr>
        <w:t xml:space="preserve">F7</w:t>
      </w:r>
      <w:r>
        <w:t xml:space="preserve"> </w:t>
      </w:r>
      <w:r>
        <w:t xml:space="preserve">на последних строках автоввода вторичной записи. ФЛК выполняется только для вторичных записей, как при серверном сохранении.</w:t>
      </w:r>
    </w:p>
    <w:bookmarkEnd w:id="11"/>
    <w:bookmarkStart w:id="12" w:name="контекст-выполнения"/>
    <w:p>
      <w:pPr>
        <w:pStyle w:val="Heading2"/>
      </w:pPr>
      <w:r>
        <w:t xml:space="preserve">4. Контекст выполнения</w:t>
      </w:r>
    </w:p>
    <w:p>
      <w:pPr>
        <w:pStyle w:val="FirstParagraph"/>
      </w:pPr>
      <w:r>
        <w:t xml:space="preserve">Автовводы и ФЛК вложенных записей работают в собственном контексте глобальных переменных. Они не видят переменные из других контекстов, а после завершения автоввода предыдущий контекст возвращается на место.</w:t>
      </w:r>
    </w:p>
    <w:p>
      <w:pPr>
        <w:pStyle w:val="BodyText"/>
      </w:pPr>
      <w:r>
        <w:t xml:space="preserve">При разборе сложных сценариев учитывайте это разделение:</w:t>
      </w:r>
    </w:p>
    <w:p>
      <w:pPr>
        <w:pStyle w:val="Compact"/>
        <w:numPr>
          <w:ilvl w:val="0"/>
          <w:numId w:val="1001"/>
        </w:numPr>
      </w:pPr>
      <w:r>
        <w:t xml:space="preserve">изменения основной записи и вторичных записей нужно проверять отдельно;</w:t>
      </w:r>
    </w:p>
    <w:p>
      <w:pPr>
        <w:pStyle w:val="Compact"/>
        <w:numPr>
          <w:ilvl w:val="0"/>
          <w:numId w:val="1001"/>
        </w:numPr>
      </w:pPr>
      <w:r>
        <w:t xml:space="preserve">ошибки автоввода и ФЛК вторичных записей отображаются в журнале сценария;</w:t>
      </w:r>
    </w:p>
    <w:p>
      <w:pPr>
        <w:pStyle w:val="Compact"/>
        <w:numPr>
          <w:ilvl w:val="0"/>
          <w:numId w:val="1001"/>
        </w:numPr>
      </w:pPr>
      <w:r>
        <w:t xml:space="preserve">для сценариев с рекурсивным созданием записей сначала используйте малую выборку или модельную запись;</w:t>
      </w:r>
    </w:p>
    <w:p>
      <w:pPr>
        <w:pStyle w:val="Compact"/>
        <w:numPr>
          <w:ilvl w:val="0"/>
          <w:numId w:val="1001"/>
        </w:numPr>
      </w:pPr>
      <w:r>
        <w:t xml:space="preserve">если отладчик часто останавливается на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, ограничьте количество проверяемых записей и включайте только нужный флажок автоввода.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Отладка автовводов в редакторе форматов</dc:title>
  <dc:creator/>
  <cp:keywords/>
  <dcterms:created xsi:type="dcterms:W3CDTF">2026-09-08T10:55:36Z</dcterms:created>
  <dcterms:modified xsi:type="dcterms:W3CDTF">2026-09-08T10:55:36Z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