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RAVR(формат)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avrформат"/>
    <w:p>
      <w:pPr>
        <w:pStyle w:val="Heading1"/>
      </w:pPr>
      <w:r>
        <w:t xml:space="preserve">Функция RAVR(формат)</w:t>
      </w:r>
    </w:p>
    <w:p>
      <w:pPr>
        <w:pStyle w:val="FirstParagraph"/>
      </w:pPr>
      <w:r>
        <w:t xml:space="preserve">Функция RAVR возвращает среднее арифметическое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Вычисленное среднее значение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необходимо предусмотреть, чтобы такое разделение в формате присутствовало. Функция RAVR может использоваться для вычисления среднего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ravr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ravr (v1|;|)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ravr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25.25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RAVR(формат)</dc:title>
  <dc:creator/>
  <cp:keywords/>
  <dcterms:created xsi:type="dcterms:W3CDTF">2026-09-04T20:34:23Z</dcterms:created>
  <dcterms:modified xsi:type="dcterms:W3CDTF">2026-09-04T20:34:23Z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