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и обслуживание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диагностика-и-обслуживание"/>
    <w:p>
      <w:pPr>
        <w:pStyle w:val="Heading1"/>
      </w:pPr>
      <w:r>
        <w:t xml:space="preserve">Диагностика и обслуживание</w:t>
      </w:r>
    </w:p>
    <w:bookmarkStart w:id="9" w:name="проверка-целостности-связей-checkeclinks"/>
    <w:p>
      <w:pPr>
        <w:pStyle w:val="Heading2"/>
      </w:pPr>
      <w:r>
        <w:t xml:space="preserve">1. Проверка целостности связей (CheckECLinks)</w:t>
      </w:r>
    </w:p>
    <w:p>
      <w:pPr>
        <w:pStyle w:val="FirstParagraph"/>
      </w:pPr>
      <w:r>
        <w:t xml:space="preserve">Для поддержания актуальности данных в системе предусмотрен инструмент</w:t>
      </w:r>
      <w:r>
        <w:t xml:space="preserve"> </w:t>
      </w:r>
      <w:r>
        <w:rPr>
          <w:b/>
          <w:bCs/>
        </w:rPr>
        <w:t xml:space="preserve">CheckECLinks</w:t>
      </w:r>
      <w:r>
        <w:t xml:space="preserve"> </w:t>
      </w:r>
      <w:r>
        <w:t xml:space="preserve">(Action</w:t>
      </w:r>
      <w:r>
        <w:t xml:space="preserve"> </w:t>
      </w:r>
      <w:r>
        <w:rPr>
          <w:rStyle w:val="VerbatimChar"/>
        </w:rPr>
        <w:t xml:space="preserve">FT/CheckECLinks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Назначение</w:t>
      </w:r>
      <w:r>
        <w:t xml:space="preserve">: Массовая проверка соответствия между объектами электронных документов и ссылками в библиографических записях электронного каталога.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Выполняемые проверки</w:t>
      </w:r>
      <w:r>
        <w:t xml:space="preserve">:</w:t>
      </w:r>
    </w:p>
    <w:p>
      <w:pPr>
        <w:pStyle w:val="Compact"/>
        <w:numPr>
          <w:ilvl w:val="1"/>
          <w:numId w:val="1002"/>
        </w:numPr>
      </w:pPr>
      <w:r>
        <w:t xml:space="preserve">Поиск</w:t>
      </w:r>
      <w:r>
        <w:t xml:space="preserve"> </w:t>
      </w:r>
      <w:r>
        <w:t xml:space="preserve">“битых”</w:t>
      </w:r>
      <w:r>
        <w:t xml:space="preserve"> </w:t>
      </w:r>
      <w:r>
        <w:t xml:space="preserve">ссылок (ссылка в ЭК есть, а объекта в FT нет).</w:t>
      </w:r>
    </w:p>
    <w:p>
      <w:pPr>
        <w:pStyle w:val="Compact"/>
        <w:numPr>
          <w:ilvl w:val="1"/>
          <w:numId w:val="1002"/>
        </w:numPr>
      </w:pPr>
      <w:r>
        <w:t xml:space="preserve">Поиск объектов без привязки к ЭК (сиротские записи).</w:t>
      </w:r>
    </w:p>
    <w:p>
      <w:pPr>
        <w:pStyle w:val="Compact"/>
        <w:numPr>
          <w:ilvl w:val="1"/>
          <w:numId w:val="1002"/>
        </w:numPr>
      </w:pPr>
      <w:r>
        <w:t xml:space="preserve">Валидация контрольных сумм (MD5) исходных документов для подтверждения идентичности файлов.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: Система формирует отчет со списком расхождений, что позволяет администратору оперативно исправить ошибки связывания.</w:t>
      </w:r>
    </w:p>
    <w:bookmarkEnd w:id="9"/>
    <w:bookmarkStart w:id="11" w:name="экспорт-документации-в-docx"/>
    <w:p>
      <w:pPr>
        <w:pStyle w:val="Heading2"/>
      </w:pPr>
      <w:r>
        <w:t xml:space="preserve">2. Экспорт документации в DOCX</w:t>
      </w:r>
    </w:p>
    <w:p>
      <w:pPr>
        <w:pStyle w:val="FirstParagraph"/>
      </w:pPr>
      <w:r>
        <w:t xml:space="preserve">Модуль FT предоставляет системную возможность конвертации текстового контента в формат Microsoft Word с использованием</w:t>
      </w:r>
      <w:r>
        <w:t xml:space="preserve"> </w:t>
      </w:r>
      <w:r>
        <w:rPr>
          <w:b/>
          <w:bCs/>
        </w:rPr>
        <w:t xml:space="preserve">Pandoc</w:t>
      </w:r>
      <w:r>
        <w:t xml:space="preserve">. Эта функция используется, например, в модуле Справки для скачивания разделов руководства в виде готовых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Базовый механизм</w:t>
      </w:r>
      <w:r>
        <w:t xml:space="preserve">: действие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 </w:t>
      </w:r>
      <w:r>
        <w:t xml:space="preserve">принимает Markdown-текст и целевой DOCX-файл, подготавливает временный входной файл и вызывает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Шаблон оформления</w:t>
      </w:r>
      <w:r>
        <w:t xml:space="preserve">: если передан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, итоговый документ наследует стили заголовков, таблиц и основного текста из этого файла.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Изображения и ресурсы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задает базовую директорию для поиска изображений и других файлов, на которые ссылается Markdown.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Оглавление и режим документа</w:t>
      </w:r>
      <w:r>
        <w:t xml:space="preserve">: параметры передаются через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включая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</w:t>
      </w:r>
      <w:r>
        <w:t xml:space="preserve"> </w:t>
      </w:r>
      <w:r>
        <w:rPr>
          <w:rStyle w:val="VerbatimChar"/>
        </w:rPr>
        <w:t xml:space="preserve">toc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toc-depth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Диагностика</w:t>
      </w:r>
      <w:r>
        <w:t xml:space="preserve">: если Pandoc не найден, входной файл отсутствует или конвертация завершается ошибкой, модуль FT возвращает русскоязычное сообщение об ошибке.</w:t>
      </w:r>
    </w:p>
    <w:p>
      <w:pPr>
        <w:pStyle w:val="FirstParagraph"/>
      </w:pPr>
      <w:r>
        <w:t xml:space="preserve">Подробное описание расположения Pandoc, структуры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и API-оберток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Основные настройки</w:t>
        </w:r>
      </w:hyperlink>
      <w:r>
        <w:t xml:space="preserve">.</w:t>
      </w:r>
    </w:p>
    <w:bookmarkEnd w:id="11"/>
    <w:bookmarkStart w:id="12" w:name="мониторинг-фоновых-процессов"/>
    <w:p>
      <w:pPr>
        <w:pStyle w:val="Heading2"/>
      </w:pPr>
      <w:r>
        <w:t xml:space="preserve">3. Мониторинг фоновых процессов</w:t>
      </w:r>
    </w:p>
    <w:p>
      <w:pPr>
        <w:pStyle w:val="FirstParagraph"/>
      </w:pPr>
      <w:r>
        <w:t xml:space="preserve">Для каждого документа в его Sid-файлах сохраняются индикаторы состояния: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prepareViewerProcessId</w:t>
      </w:r>
      <w:r>
        <w:t xml:space="preserve">: Если файл содержит значение</w:t>
      </w:r>
      <w:r>
        <w:t xml:space="preserve"> </w:t>
      </w:r>
      <w:r>
        <w:rPr>
          <w:rStyle w:val="VerbatimChar"/>
        </w:rPr>
        <w:t xml:space="preserve">queued</w:t>
      </w:r>
      <w:r>
        <w:t xml:space="preserve"> </w:t>
      </w:r>
      <w:r>
        <w:t xml:space="preserve">или ID задачи, значит процесс подготовки еще идет. Если файл отсутствует — подготовка завершена.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ExecFFMPEG.log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ExecFFMPEGV.log</w:t>
      </w:r>
      <w:r>
        <w:t xml:space="preserve">: Файлы журналов процесса конвертации медиафайлов. Находятся в папке логов сервера.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OCRTesseract.log</w:t>
      </w:r>
      <w:r>
        <w:t xml:space="preserve">: Основной лог-файл процесса распознавания текста. Находится в папке логов сервера.</w:t>
      </w:r>
    </w:p>
    <w:bookmarkEnd w:id="12"/>
    <w:bookmarkStart w:id="13" w:name="структура-хранилища-объектов"/>
    <w:p>
      <w:pPr>
        <w:pStyle w:val="Heading2"/>
      </w:pPr>
      <w:r>
        <w:t xml:space="preserve">4. Структура хранилища объектов</w:t>
      </w:r>
    </w:p>
    <w:p>
      <w:pPr>
        <w:pStyle w:val="FirstParagraph"/>
      </w:pPr>
      <w:r>
        <w:t xml:space="preserve">Все данные документов хранятся по пути:</w:t>
      </w:r>
      <w:r>
        <w:t xml:space="preserve"> </w:t>
      </w:r>
      <w:r>
        <w:rPr>
          <w:rStyle w:val="VerbatimChar"/>
        </w:rPr>
        <w:t xml:space="preserve">[DataPath]/OBJECTS/FT/[Первые 2 символа SID]/[Следующие 2 символа SID]/[Остаток SID]/</w:t>
      </w:r>
    </w:p>
    <w:p>
      <w:pPr>
        <w:pStyle w:val="BodyText"/>
      </w:pPr>
      <w:r>
        <w:t xml:space="preserve">Внутри папки документа создаются поддиректории: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FT/Paged/img</w:t>
      </w:r>
      <w:r>
        <w:t xml:space="preserve">: Изображения страниц (PNG).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FT/Paged/txt</w:t>
      </w:r>
      <w:r>
        <w:t xml:space="preserve">: Текстовое содержимое страниц.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FT/Paged/coord</w:t>
      </w:r>
      <w:r>
        <w:t xml:space="preserve">: Координаты слов для подсветки.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FT/idx.txt</w:t>
      </w:r>
      <w:r>
        <w:t xml:space="preserve">: Полный текст всего документа (используется для индексации).</w:t>
      </w:r>
    </w:p>
    <w:bookmarkEnd w:id="13"/>
    <w:bookmarkStart w:id="14" w:name="очистка-данных"/>
    <w:p>
      <w:pPr>
        <w:pStyle w:val="Heading2"/>
      </w:pPr>
      <w:r>
        <w:t xml:space="preserve">5. Очистка данных</w:t>
      </w:r>
    </w:p>
    <w:p>
      <w:pPr>
        <w:pStyle w:val="FirstParagraph"/>
      </w:pPr>
      <w:r>
        <w:t xml:space="preserve">При удалении записи FT система автоматически удаляет все связанные с ней файлы и директории из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Не рекомендуется вручную изменять содержимое папок в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, так как это может привести к рассогласованию с базой данных и ошибкам во вьюверах.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AdminGuide/GeneralConfi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AdminGuide/GeneralConfi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и обслуживание</dc:title>
  <dc:creator/>
  <cp:keywords/>
  <dcterms:created xsi:type="dcterms:W3CDTF">2026-09-08T10:28:17Z</dcterms:created>
  <dcterms:modified xsi:type="dcterms:W3CDTF">2026-09-08T10:28:17Z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