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Интеграция с библиотечными процессами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интеграция-с-библиотечными-процессами"/>
    <w:p>
      <w:pPr>
        <w:pStyle w:val="Heading1"/>
      </w:pPr>
      <w:r>
        <w:t xml:space="preserve">Интеграция с библиотечными процессами</w:t>
      </w:r>
    </w:p>
    <w:bookmarkStart w:id="9" w:name="арм-книговыдача"/>
    <w:p>
      <w:pPr>
        <w:pStyle w:val="Heading2"/>
      </w:pPr>
      <w:r>
        <w:t xml:space="preserve">1. АРМ Книговыдача</w:t>
      </w:r>
    </w:p>
    <w:p>
      <w:pPr>
        <w:pStyle w:val="FirstParagraph"/>
      </w:pPr>
      <w:r>
        <w:t xml:space="preserve">Модуль FT может автоматически фиксировать обращения к электронным документам как факты книговыдачи.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Настройка</w:t>
      </w:r>
      <w:r>
        <w:t xml:space="preserve">: Включается параметром «Отмечать просмотр документа как выдачу».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Место выдачи</w:t>
      </w:r>
      <w:r>
        <w:t xml:space="preserve">: Можно задать код места хранения для статистики (например,</w:t>
      </w:r>
      <w:r>
        <w:t xml:space="preserve"> </w:t>
      </w:r>
      <w:r>
        <w:rPr>
          <w:rStyle w:val="VerbatimChar"/>
        </w:rPr>
        <w:t xml:space="preserve">WEB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Анонимные пользователи</w:t>
      </w:r>
      <w:r>
        <w:t xml:space="preserve">: Для учета посещаемости без авторизации можно задать идентификатор анонимного читателя (например,</w:t>
      </w:r>
      <w:r>
        <w:t xml:space="preserve"> </w:t>
      </w:r>
      <w:r>
        <w:rPr>
          <w:rStyle w:val="VerbatimChar"/>
        </w:rPr>
        <w:t xml:space="preserve">Anonymous</w:t>
      </w:r>
      <w:r>
        <w:t xml:space="preserve">) и минимальный интервал времени между повторными выдачами.</w:t>
      </w:r>
    </w:p>
    <w:bookmarkEnd w:id="9"/>
    <w:bookmarkStart w:id="10" w:name="ограничения-и-авторские-права-поле-201"/>
    <w:p>
      <w:pPr>
        <w:pStyle w:val="Heading2"/>
      </w:pPr>
      <w:r>
        <w:t xml:space="preserve">2. Ограничения и авторские права (Поле 201)</w:t>
      </w:r>
    </w:p>
    <w:p>
      <w:pPr>
        <w:pStyle w:val="FirstParagraph"/>
      </w:pPr>
      <w:r>
        <w:t xml:space="preserve">Администратор может гибко настраивать лимиты использования контента для конкретных документов: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Процент скачивания</w:t>
      </w:r>
      <w:r>
        <w:t xml:space="preserve">: Ограничивает объем страниц, доступных для сохранения в PDF.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Процент печати</w:t>
      </w:r>
      <w:r>
        <w:t xml:space="preserve">: Ограничивает объем страниц для вывода на принтер.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Контроль сессий</w:t>
      </w:r>
      <w:r>
        <w:t xml:space="preserve">: Система отслеживает количество уже «использованных» страниц в рамках текущей сессии пользователя. При достижении лимита кнопки печати и скачивания блокируются или выдают предупреждение.</w:t>
      </w:r>
    </w:p>
    <w:bookmarkEnd w:id="10"/>
    <w:bookmarkStart w:id="11" w:name="сводный-каталог"/>
    <w:p>
      <w:pPr>
        <w:pStyle w:val="Heading2"/>
      </w:pPr>
      <w:r>
        <w:t xml:space="preserve">3. Сводный каталог</w:t>
      </w:r>
    </w:p>
    <w:p>
      <w:pPr>
        <w:pStyle w:val="FirstParagraph"/>
      </w:pPr>
      <w:r>
        <w:t xml:space="preserve">При добавлении полного текста к записи сводного каталога система может автоматически прописывать ссылки на этот текст в записи-источники в локальных базах данных (настраивается списком разрешенных БД).</w:t>
      </w:r>
    </w:p>
    <w:bookmarkEnd w:id="11"/>
    <w:bookmarkStart w:id="16" w:name="параметры-интеграции-с-арм-книговыдача"/>
    <w:p>
      <w:pPr>
        <w:pStyle w:val="Heading2"/>
      </w:pPr>
      <w:r>
        <w:t xml:space="preserve">Параметры интеграции с АРМ Книговыдача</w:t>
      </w:r>
    </w:p>
    <w:p>
      <w:pPr>
        <w:pStyle w:val="FirstParagraph"/>
      </w:pPr>
      <w:r>
        <w:t xml:space="preserve">Настройки для фиксации факта просмотра полных текстов в статистике модуля книговыдачи.</w:t>
      </w:r>
    </w:p>
    <w:bookmarkStart w:id="12" w:name="X87f80bf909191ef19914d94a743ef9634edf217"/>
    <w:p>
      <w:pPr>
        <w:pStyle w:val="Heading3"/>
      </w:pPr>
      <w:r>
        <w:t xml:space="preserve">1. Отмечать просмотр документа как выдачу (</w:t>
      </w:r>
      <w:r>
        <w:rPr>
          <w:rStyle w:val="VerbatimChar"/>
        </w:rPr>
        <w:t xml:space="preserve">useKv</w:t>
      </w:r>
      <w:r>
        <w:t xml:space="preserve">)</w:t>
      </w:r>
    </w:p>
    <w:p>
      <w:pPr>
        <w:pStyle w:val="FirstParagraph"/>
      </w:pPr>
      <w:r>
        <w:t xml:space="preserve">Включает автоматическую запись сведений о просмотре в базу данных в виде выданного экземпляра.</w:t>
      </w:r>
    </w:p>
    <w:p>
      <w:pPr>
        <w:pStyle w:val="BodyText"/>
      </w:pPr>
      <w:r>
        <w:rPr>
          <w:i/>
          <w:iCs/>
        </w:rPr>
        <w:t xml:space="preserve">Примечание: Выдачей считается не только открытие документа во встроенном вьювере браузера, но и прямое скачивание файла пользователем (если права на скачивание предоставлены).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При включении этой опции система не только фиксирует выдачу в базе читателей, но и</w:t>
      </w:r>
      <w:r>
        <w:t xml:space="preserve"> </w:t>
      </w:r>
      <w:r>
        <w:rPr>
          <w:b/>
          <w:bCs/>
        </w:rPr>
        <w:t xml:space="preserve">автоматически увеличивает счетчик книговыдач (поле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999</w:t>
      </w:r>
      <w:r>
        <w:rPr>
          <w:b/>
          <w:bCs/>
        </w:rPr>
        <w:t xml:space="preserve">)</w:t>
      </w:r>
      <w:r>
        <w:t xml:space="preserve"> </w:t>
      </w:r>
      <w:r>
        <w:t xml:space="preserve">в связанной библиографической записи электронного каталога.</w:t>
      </w:r>
      <w:r>
        <w:t xml:space="preserve"> </w:t>
      </w:r>
      <w:r>
        <w:t xml:space="preserve">@@@</w:t>
      </w:r>
    </w:p>
    <w:bookmarkEnd w:id="12"/>
    <w:bookmarkStart w:id="13" w:name="обозначение-места-выдачи-mkv"/>
    <w:p>
      <w:pPr>
        <w:pStyle w:val="Heading3"/>
      </w:pPr>
      <w:r>
        <w:t xml:space="preserve">2. Обозначение места выдачи (</w:t>
      </w:r>
      <w:r>
        <w:rPr>
          <w:rStyle w:val="VerbatimChar"/>
        </w:rPr>
        <w:t xml:space="preserve">mkv</w:t>
      </w:r>
      <w:r>
        <w:t xml:space="preserve">)</w:t>
      </w:r>
    </w:p>
    <w:p>
      <w:pPr>
        <w:pStyle w:val="FirstParagraph"/>
      </w:pPr>
      <w:r>
        <w:t xml:space="preserve">Сигла места выдачи, которая будет проставлена в записи читателя (по умолчанию</w:t>
      </w:r>
      <w:r>
        <w:t xml:space="preserve"> </w:t>
      </w:r>
      <w:r>
        <w:rPr>
          <w:rStyle w:val="VerbatimChar"/>
        </w:rPr>
        <w:t xml:space="preserve">WEB</w:t>
      </w:r>
      <w:r>
        <w:t xml:space="preserve">).</w:t>
      </w:r>
    </w:p>
    <w:bookmarkEnd w:id="13"/>
    <w:bookmarkStart w:id="14" w:name="идентификатор-анонимного-читателя-kvri"/>
    <w:p>
      <w:pPr>
        <w:pStyle w:val="Heading3"/>
      </w:pPr>
      <w:r>
        <w:t xml:space="preserve">3. Идентификатор анонимного читателя (</w:t>
      </w:r>
      <w:r>
        <w:rPr>
          <w:rStyle w:val="VerbatimChar"/>
        </w:rPr>
        <w:t xml:space="preserve">kvri</w:t>
      </w:r>
      <w:r>
        <w:t xml:space="preserve">)</w:t>
      </w:r>
    </w:p>
    <w:p>
      <w:pPr>
        <w:pStyle w:val="FirstParagraph"/>
      </w:pPr>
      <w:r>
        <w:t xml:space="preserve">Идентификатор (или штрих-код) читателя, на которого будут оформляться выдачи при просмотре документа неавторизованными пользователями.</w:t>
      </w:r>
    </w:p>
    <w:bookmarkEnd w:id="14"/>
    <w:bookmarkStart w:id="15" w:name="X707440f5c0ffc224d501aa42be2f73c240abd4d"/>
    <w:p>
      <w:pPr>
        <w:pStyle w:val="Heading3"/>
      </w:pPr>
      <w:r>
        <w:t xml:space="preserve">4. Минимальное время между выдачами одного и того же документа для анонимного читателя (</w:t>
      </w:r>
      <w:r>
        <w:rPr>
          <w:rStyle w:val="VerbatimChar"/>
        </w:rPr>
        <w:t xml:space="preserve">timeBetweenBooklandRepeatUniversalUser</w:t>
      </w:r>
      <w:r>
        <w:t xml:space="preserve">)</w:t>
      </w:r>
    </w:p>
    <w:p>
      <w:pPr>
        <w:pStyle w:val="FirstParagraph"/>
      </w:pPr>
      <w:r>
        <w:t xml:space="preserve">Время в минутах, которое должно пройти перед тем, как система снова зафиксирует выдачу того же документа для анонимного пользователя.</w:t>
      </w:r>
    </w:p>
    <w:bookmarkEnd w:id="15"/>
    <w:bookmarkEnd w:id="16"/>
    <w:bookmarkStart w:id="19" w:name="Xa71c1d5d07dd25b85628c0566ce9063eea7318b"/>
    <w:p>
      <w:pPr>
        <w:pStyle w:val="Heading2"/>
      </w:pPr>
      <w:r>
        <w:t xml:space="preserve">Параметры интеграции со сводным каталогом</w:t>
      </w:r>
    </w:p>
    <w:p>
      <w:pPr>
        <w:pStyle w:val="FirstParagraph"/>
      </w:pPr>
      <w:r>
        <w:t xml:space="preserve">Специальные настройки для библиотек, участвующих в корпоративных проектах (Сводных каталогах).</w:t>
      </w:r>
    </w:p>
    <w:bookmarkStart w:id="17" w:name="X8a6e7d63fd288782ceff3e8e12ed2ec5fdd120c"/>
    <w:p>
      <w:pPr>
        <w:pStyle w:val="Heading3"/>
      </w:pPr>
      <w:r>
        <w:t xml:space="preserve">1. Прописывать ссылки на полные тексты в записи-источники (</w:t>
      </w:r>
      <w:r>
        <w:rPr>
          <w:rStyle w:val="VerbatimChar"/>
        </w:rPr>
        <w:t xml:space="preserve">skAllow</w:t>
      </w:r>
      <w:r>
        <w:t xml:space="preserve">)</w:t>
      </w:r>
    </w:p>
    <w:p>
      <w:pPr>
        <w:pStyle w:val="FirstParagraph"/>
      </w:pPr>
      <w:r>
        <w:t xml:space="preserve">Если настройка включена, при добавлении документа к записи в сводном каталоге, система автоматически попытается прописать ссылку на этот полный текст в исходную базу данных библиотеки-участницы.</w:t>
      </w:r>
    </w:p>
    <w:bookmarkEnd w:id="17"/>
    <w:bookmarkStart w:id="18" w:name="список-разрешенных-бд-skalloweddatabases"/>
    <w:p>
      <w:pPr>
        <w:pStyle w:val="Heading3"/>
      </w:pPr>
      <w:r>
        <w:t xml:space="preserve">2. Список разрешенных БД (</w:t>
      </w:r>
      <w:r>
        <w:rPr>
          <w:rStyle w:val="VerbatimChar"/>
        </w:rPr>
        <w:t xml:space="preserve">skAllowedDatabases</w:t>
      </w:r>
      <w:r>
        <w:t xml:space="preserve">)</w:t>
      </w:r>
    </w:p>
    <w:p>
      <w:pPr>
        <w:pStyle w:val="FirstParagraph"/>
      </w:pPr>
      <w:r>
        <w:t xml:space="preserve">Позволяет ограничить список баз данных, в которые разрешено прописывать ссылки.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Интеграция с библиотечными процессами</dc:title>
  <dc:creator/>
  <cp:keywords/>
  <dcterms:created xsi:type="dcterms:W3CDTF">2026-09-08T08:23:57Z</dcterms:created>
  <dcterms:modified xsi:type="dcterms:W3CDTF">2026-09-08T08:23:57Z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