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TRE-деревья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" w:name="tre-деревья"/>
    <w:p>
      <w:pPr>
        <w:pStyle w:val="Heading1"/>
      </w:pPr>
      <w:r>
        <w:t xml:space="preserve">TRE-деревья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Tre</w:t>
      </w:r>
      <w:r>
        <w:t xml:space="preserve"> </w:t>
      </w:r>
      <w:r>
        <w:t xml:space="preserve">загружает и кэширует древовидные справочники из файлов</w:t>
      </w:r>
      <w:r>
        <w:t xml:space="preserve"> </w:t>
      </w:r>
      <w:r>
        <w:rPr>
          <w:rStyle w:val="VerbatimChar"/>
        </w:rPr>
        <w:t xml:space="preserve">.TRE</w:t>
      </w:r>
      <w:r>
        <w:t xml:space="preserve">, используемых базами ИРБИС. Такие файлы подключаются из рабочих листов и WSS-описаний, когда редактор записи должен показать поле выбора в виде дерева.</w:t>
      </w:r>
    </w:p>
    <w:bookmarkStart w:id="9" w:name="где-используется"/>
    <w:p>
      <w:pPr>
        <w:pStyle w:val="Heading2"/>
      </w:pPr>
      <w:r>
        <w:t xml:space="preserve">1. Где используется</w:t>
      </w:r>
    </w:p>
    <w:p>
      <w:pPr>
        <w:pStyle w:val="FirstParagraph"/>
      </w:pPr>
      <w:r>
        <w:rPr>
          <w:rStyle w:val="VerbatimChar"/>
        </w:rPr>
        <w:t xml:space="preserve">Tre</w:t>
      </w:r>
      <w:r>
        <w:t xml:space="preserve"> </w:t>
      </w:r>
      <w:r>
        <w:t xml:space="preserve">является инфраструктурным модулем редакторов записей. Он подготавливает данные для методов ввода, которые работают с иерархическими справочниками: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he2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SelectTre</w:t>
      </w:r>
      <w:r>
        <w:t xml:space="preserve"> </w:t>
      </w:r>
      <w:r>
        <w:t xml:space="preserve">и действие</w:t>
      </w:r>
      <w:r>
        <w:t xml:space="preserve"> </w:t>
      </w:r>
      <w:r>
        <w:rPr>
          <w:rStyle w:val="VerbatimChar"/>
        </w:rPr>
        <w:t xml:space="preserve">he2/InType6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he3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InMode = 6</w:t>
      </w:r>
      <w:r>
        <w:t xml:space="preserve"> </w:t>
      </w:r>
      <w:r>
        <w:t xml:space="preserve">и загружает узлы дерева через</w:t>
      </w:r>
      <w:r>
        <w:t xml:space="preserve"> </w:t>
      </w:r>
      <w:r>
        <w:rPr>
          <w:rStyle w:val="VerbatimChar"/>
        </w:rPr>
        <w:t xml:space="preserve">he3/GetDictionary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рабочие листы и WSS-файлы передают имя</w:t>
      </w:r>
      <w:r>
        <w:t xml:space="preserve"> </w:t>
      </w:r>
      <w:r>
        <w:rPr>
          <w:rStyle w:val="VerbatimChar"/>
        </w:rPr>
        <w:t xml:space="preserve">.TRE</w:t>
      </w:r>
      <w:r>
        <w:t xml:space="preserve"> </w:t>
      </w:r>
      <w:r>
        <w:t xml:space="preserve">через параметр</w:t>
      </w:r>
      <w:r>
        <w:t xml:space="preserve"> </w:t>
      </w:r>
      <w:r>
        <w:rPr>
          <w:rStyle w:val="VerbatimChar"/>
        </w:rPr>
        <w:t xml:space="preserve">DopInf</w:t>
      </w:r>
      <w:r>
        <w:t xml:space="preserve">.</w:t>
      </w:r>
    </w:p>
    <w:p>
      <w:pPr>
        <w:pStyle w:val="FirstParagraph"/>
      </w:pPr>
      <w:r>
        <w:t xml:space="preserve">Сам модуль не открывает пользовательскую страницу. Пользователь видит результат его работы в окне выбора рубрики, классификатора или другого древовидного справочника.</w:t>
      </w:r>
    </w:p>
    <w:bookmarkEnd w:id="9"/>
    <w:bookmarkStart w:id="14" w:name="назначение-tre"/>
    <w:p>
      <w:pPr>
        <w:pStyle w:val="Heading2"/>
      </w:pPr>
      <w:r>
        <w:t xml:space="preserve">Назначение Tre</w:t>
      </w:r>
    </w:p>
    <w:p>
      <w:pPr>
        <w:pStyle w:val="FirstParagraph"/>
      </w:pPr>
      <w:r>
        <w:rPr>
          <w:rStyle w:val="VerbatimChar"/>
        </w:rPr>
        <w:t xml:space="preserve">Tre</w:t>
      </w:r>
      <w:r>
        <w:t xml:space="preserve"> </w:t>
      </w:r>
      <w:r>
        <w:t xml:space="preserve">создает объект дерева, настраивает имя файла и базу данных, загружает</w:t>
      </w:r>
      <w:r>
        <w:t xml:space="preserve"> </w:t>
      </w:r>
      <w:r>
        <w:rPr>
          <w:rStyle w:val="VerbatimChar"/>
        </w:rPr>
        <w:t xml:space="preserve">.TRE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APATH_DB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APATH_SYS</w:t>
      </w:r>
      <w:r>
        <w:t xml:space="preserve">, разбирает отступы табуляцией и преобразует строки из Windows-1251 в UTF-8.</w:t>
      </w:r>
    </w:p>
    <w:p>
      <w:pPr>
        <w:pStyle w:val="BodyText"/>
      </w:pPr>
      <w:r>
        <w:t xml:space="preserve">После загрузки содержимое дерева сохраняется в объекте как массив узлов с ключом, значением и дочерними элементами. Для ускорения повторного чтения используется файловый кэш в</w:t>
      </w:r>
      <w:r>
        <w:t xml:space="preserve"> </w:t>
      </w:r>
      <w:r>
        <w:rPr>
          <w:rStyle w:val="VerbatimChar"/>
        </w:rPr>
        <w:t xml:space="preserve">DataPath/om_shared</w:t>
      </w:r>
      <w:r>
        <w:t xml:space="preserve">.</w:t>
      </w:r>
    </w:p>
    <w:bookmarkStart w:id="10" w:name="порядок-загрузки"/>
    <w:p>
      <w:pPr>
        <w:pStyle w:val="Heading3"/>
      </w:pPr>
      <w:r>
        <w:t xml:space="preserve">1. Порядок загрузки</w:t>
      </w:r>
    </w:p>
    <w:p>
      <w:pPr>
        <w:pStyle w:val="Compact"/>
        <w:numPr>
          <w:ilvl w:val="0"/>
          <w:numId w:val="1002"/>
        </w:numPr>
      </w:pPr>
      <w:r>
        <w:t xml:space="preserve">Вызывающий код создает объект через</w:t>
      </w:r>
      <w:r>
        <w:t xml:space="preserve"> </w:t>
      </w:r>
      <w:r>
        <w:rPr>
          <w:rStyle w:val="VerbatimChar"/>
        </w:rPr>
        <w:t xml:space="preserve">Tre::GetNew()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Tre/Load</w:t>
      </w:r>
      <w:r>
        <w:t xml:space="preserve"> </w:t>
      </w:r>
      <w:r>
        <w:t xml:space="preserve">передается имя базы ИРБИС и имя</w:t>
      </w:r>
      <w:r>
        <w:t xml:space="preserve"> </w:t>
      </w:r>
      <w:r>
        <w:rPr>
          <w:rStyle w:val="VerbatimChar"/>
        </w:rPr>
        <w:t xml:space="preserve">.TRE</w:t>
      </w:r>
      <w:r>
        <w:t xml:space="preserve">-файла.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Tre/SetName</w:t>
      </w:r>
      <w:r>
        <w:t xml:space="preserve"> </w:t>
      </w:r>
      <w:r>
        <w:t xml:space="preserve">нормализует имя: убирает лишние пробелы и слеши, переводит имя файла к верхнему регистру, добавляет расширение</w:t>
      </w:r>
      <w:r>
        <w:t xml:space="preserve"> </w:t>
      </w:r>
      <w:r>
        <w:rPr>
          <w:rStyle w:val="VerbatimChar"/>
        </w:rPr>
        <w:t xml:space="preserve">.TRE</w:t>
      </w:r>
      <w:r>
        <w:t xml:space="preserve">, если оно не указано.</w:t>
      </w:r>
    </w:p>
    <w:p>
      <w:pPr>
        <w:pStyle w:val="Compact"/>
        <w:numPr>
          <w:ilvl w:val="0"/>
          <w:numId w:val="1002"/>
        </w:numPr>
      </w:pPr>
      <w:r>
        <w:t xml:space="preserve">Модуль сначала пытается прочитать разобранное дерево из кэша.</w:t>
      </w:r>
    </w:p>
    <w:p>
      <w:pPr>
        <w:pStyle w:val="Compact"/>
        <w:numPr>
          <w:ilvl w:val="0"/>
          <w:numId w:val="1002"/>
        </w:numPr>
      </w:pPr>
      <w:r>
        <w:t xml:space="preserve">Если кэша нет, файл читается через провайдер базы, разбирается по отступам табуляцией и сохраняется в кэш.</w:t>
      </w:r>
    </w:p>
    <w:bookmarkEnd w:id="10"/>
    <w:bookmarkStart w:id="11" w:name="содержимое-результата"/>
    <w:p>
      <w:pPr>
        <w:pStyle w:val="Heading3"/>
      </w:pPr>
      <w:r>
        <w:t xml:space="preserve">2. Содержимое результата</w:t>
      </w:r>
    </w:p>
    <w:p>
      <w:pPr>
        <w:pStyle w:val="FirstParagraph"/>
      </w:pPr>
      <w:r>
        <w:t xml:space="preserve">Корневой элемент имеет служебное значение</w:t>
      </w:r>
      <w:r>
        <w:t xml:space="preserve"> </w:t>
      </w:r>
      <w:r>
        <w:rPr>
          <w:rStyle w:val="VerbatimChar"/>
        </w:rPr>
        <w:t xml:space="preserve">root</w:t>
      </w:r>
      <w:r>
        <w:t xml:space="preserve"> </w:t>
      </w:r>
      <w:r>
        <w:t xml:space="preserve">и массив дочерних узлов</w:t>
      </w:r>
      <w:r>
        <w:t xml:space="preserve"> </w:t>
      </w:r>
      <w:r>
        <w:rPr>
          <w:rStyle w:val="VerbatimChar"/>
        </w:rPr>
        <w:t xml:space="preserve">sub</w:t>
      </w:r>
      <w:r>
        <w:t xml:space="preserve">. Каждый узел содержит: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key</w:t>
      </w:r>
      <w:r>
        <w:t xml:space="preserve"> </w:t>
      </w:r>
      <w:r>
        <w:t xml:space="preserve">- код или значение, которое обычно записывается в поле;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value</w:t>
      </w:r>
      <w:r>
        <w:t xml:space="preserve"> </w:t>
      </w:r>
      <w:r>
        <w:t xml:space="preserve">- подпись узла, если она есть в файле;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sub</w:t>
      </w:r>
      <w:r>
        <w:t xml:space="preserve"> </w:t>
      </w:r>
      <w:r>
        <w:t xml:space="preserve">- дочерние узлы, если строка имеет вложенный уровень.</w:t>
      </w:r>
    </w:p>
    <w:p>
      <w:pPr>
        <w:pStyle w:val="FirstParagraph"/>
      </w:pPr>
      <w:r>
        <w:t xml:space="preserve">Редакторы могут показывать пользователю</w:t>
      </w:r>
      <w:r>
        <w:t xml:space="preserve"> </w:t>
      </w:r>
      <w:r>
        <w:rPr>
          <w:rStyle w:val="VerbatimChar"/>
        </w:rPr>
        <w:t xml:space="preserve">key</w:t>
      </w:r>
      <w:r>
        <w:t xml:space="preserve">,</w:t>
      </w:r>
      <w:r>
        <w:t xml:space="preserve"> </w:t>
      </w:r>
      <w:r>
        <w:rPr>
          <w:rStyle w:val="VerbatimChar"/>
        </w:rPr>
        <w:t xml:space="preserve">value</w:t>
      </w:r>
      <w:r>
        <w:t xml:space="preserve"> </w:t>
      </w:r>
      <w:r>
        <w:t xml:space="preserve">или объединенный текст, а в запись возвращать только код выбранного узла.</w:t>
      </w:r>
    </w:p>
    <w:bookmarkEnd w:id="11"/>
    <w:bookmarkStart w:id="12" w:name="кэш-и-платформы"/>
    <w:p>
      <w:pPr>
        <w:pStyle w:val="Heading3"/>
      </w:pPr>
      <w:r>
        <w:t xml:space="preserve">3. Кэш и платформы</w:t>
      </w:r>
    </w:p>
    <w:p>
      <w:pPr>
        <w:pStyle w:val="FirstParagraph"/>
      </w:pPr>
      <w:r>
        <w:t xml:space="preserve">Кэш хранится в</w:t>
      </w:r>
      <w:r>
        <w:t xml:space="preserve"> </w:t>
      </w:r>
      <w:r>
        <w:rPr>
          <w:rStyle w:val="VerbatimChar"/>
        </w:rPr>
        <w:t xml:space="preserve">DataPath/om_shared</w:t>
      </w:r>
      <w:r>
        <w:t xml:space="preserve">. Для файлов из области базы используется путь с префиксом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для</w:t>
      </w:r>
      <w:r>
        <w:t xml:space="preserve"> </w:t>
      </w:r>
      <w:r>
        <w:rPr>
          <w:rStyle w:val="VerbatimChar"/>
        </w:rPr>
        <w:t xml:space="preserve">APATH_DATAI</w:t>
      </w:r>
      <w:r>
        <w:t xml:space="preserve"> </w:t>
      </w:r>
      <w:r>
        <w:t xml:space="preserve">префикс не добавляется. Имя базы и имя файла в кэше приводятся к нижнему регистру.</w:t>
      </w:r>
    </w:p>
    <w:p>
      <w:pPr>
        <w:pStyle w:val="BodyText"/>
      </w:pPr>
      <w:r>
        <w:t xml:space="preserve">На Windows имя файла кэша дополнительно конвертируется из UTF-8 в Windows-1251. Это позволяет использовать один и тот же механизм на Windows и Linux, но важно учитывать кодировку имен файлов и содержимого</w:t>
      </w:r>
      <w:r>
        <w:t xml:space="preserve"> </w:t>
      </w:r>
      <w:r>
        <w:rPr>
          <w:rStyle w:val="VerbatimChar"/>
        </w:rPr>
        <w:t xml:space="preserve">.TRE</w:t>
      </w:r>
      <w:r>
        <w:t xml:space="preserve">.</w:t>
      </w:r>
    </w:p>
    <w:bookmarkEnd w:id="12"/>
    <w:bookmarkStart w:id="13" w:name="ограничения"/>
    <w:p>
      <w:pPr>
        <w:pStyle w:val="Heading3"/>
      </w:pPr>
      <w:r>
        <w:t xml:space="preserve">4. Ограничения</w:t>
      </w:r>
    </w:p>
    <w:p>
      <w:pPr>
        <w:pStyle w:val="FirstParagraph"/>
      </w:pPr>
      <w:r>
        <w:t xml:space="preserve">Модуль служебный: он предоставляет структуру данных для других модулей и сам по себе не имеет пользовательского интерфейса. Пользовательские сценарии выбора дерева описываются в документации редакторов, например в разделе средств ввода</w:t>
      </w:r>
      <w:r>
        <w:t xml:space="preserve"> </w:t>
      </w:r>
      <w:r>
        <w:rPr>
          <w:rStyle w:val="VerbatimChar"/>
        </w:rPr>
        <w:t xml:space="preserve">he3</w:t>
      </w:r>
      <w:r>
        <w:t xml:space="preserve">.</w:t>
      </w:r>
    </w:p>
    <w:bookmarkEnd w:id="13"/>
    <w:bookmarkEnd w:id="14"/>
    <w:bookmarkStart w:id="19" w:name="формат-и-именование-tre-файлов"/>
    <w:p>
      <w:pPr>
        <w:pStyle w:val="Heading2"/>
      </w:pPr>
      <w:r>
        <w:t xml:space="preserve">Формат и именование TRE-файлов</w:t>
      </w:r>
    </w:p>
    <w:p>
      <w:pPr>
        <w:pStyle w:val="FirstParagraph"/>
      </w:pPr>
      <w:r>
        <w:t xml:space="preserve">Файл</w:t>
      </w:r>
      <w:r>
        <w:t xml:space="preserve"> </w:t>
      </w:r>
      <w:r>
        <w:rPr>
          <w:rStyle w:val="VerbatimChar"/>
        </w:rPr>
        <w:t xml:space="preserve">.TRE</w:t>
      </w:r>
      <w:r>
        <w:t xml:space="preserve"> </w:t>
      </w:r>
      <w:r>
        <w:t xml:space="preserve">описывает иерархический справочник. Его строки читаются сверху вниз, а уровень вложенности определяется количеством символов табуляции в начале строки.</w:t>
      </w:r>
    </w:p>
    <w:bookmarkStart w:id="15" w:name="строки-дерева"/>
    <w:p>
      <w:pPr>
        <w:pStyle w:val="Heading3"/>
      </w:pPr>
      <w:r>
        <w:t xml:space="preserve">1. Строки дерева</w:t>
      </w:r>
    </w:p>
    <w:p>
      <w:pPr>
        <w:pStyle w:val="FirstParagraph"/>
      </w:pPr>
      <w:r>
        <w:t xml:space="preserve">Обычная строка имеет вид:</w:t>
      </w:r>
    </w:p>
    <w:p>
      <w:pPr>
        <w:pStyle w:val="SourceCode"/>
      </w:pPr>
      <w:r>
        <w:rPr>
          <w:rStyle w:val="VerbatimChar"/>
        </w:rPr>
        <w:t xml:space="preserve">ключ - значение</w:t>
      </w:r>
    </w:p>
    <w:p>
      <w:pPr>
        <w:pStyle w:val="FirstParagraph"/>
      </w:pPr>
      <w:r>
        <w:t xml:space="preserve">Левая часть становится</w:t>
      </w:r>
      <w:r>
        <w:t xml:space="preserve"> </w:t>
      </w:r>
      <w:r>
        <w:rPr>
          <w:rStyle w:val="VerbatimChar"/>
        </w:rPr>
        <w:t xml:space="preserve">key</w:t>
      </w:r>
      <w:r>
        <w:t xml:space="preserve">, правая часть становится</w:t>
      </w:r>
      <w:r>
        <w:t xml:space="preserve"> </w:t>
      </w:r>
      <w:r>
        <w:rPr>
          <w:rStyle w:val="VerbatimChar"/>
        </w:rPr>
        <w:t xml:space="preserve">value</w:t>
      </w:r>
      <w:r>
        <w:t xml:space="preserve">. Если в строке есть дополнительные разделители</w:t>
      </w:r>
      <w:r>
        <w:t xml:space="preserve"> </w:t>
      </w:r>
      <w:r>
        <w:rPr>
          <w:rStyle w:val="VerbatimChar"/>
        </w:rPr>
        <w:t xml:space="preserve">-</w:t>
      </w:r>
      <w:r>
        <w:t xml:space="preserve">, они остаются частью значения.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VerbatimChar"/>
        </w:rPr>
        <w:t xml:space="preserve">1 - Основной раздел</w:t>
      </w:r>
      <w:r>
        <w:br/>
      </w:r>
      <w:r>
        <w:rPr>
          <w:rStyle w:val="VerbatimChar"/>
        </w:rPr>
        <w:t xml:space="preserve">    1.1 - Подраздел</w:t>
      </w:r>
      <w:r>
        <w:br/>
      </w:r>
      <w:r>
        <w:rPr>
          <w:rStyle w:val="VerbatimChar"/>
        </w:rPr>
        <w:t xml:space="preserve">        1.1.1 - Детальная рубрика</w:t>
      </w:r>
      <w:r>
        <w:br/>
      </w:r>
      <w:r>
        <w:rPr>
          <w:rStyle w:val="VerbatimChar"/>
        </w:rPr>
        <w:t xml:space="preserve">2 - Второй раздел</w:t>
      </w:r>
    </w:p>
    <w:p>
      <w:pPr>
        <w:pStyle w:val="FirstParagraph"/>
      </w:pPr>
      <w:r>
        <w:t xml:space="preserve">В этом примере узел</w:t>
      </w:r>
      <w:r>
        <w:t xml:space="preserve"> </w:t>
      </w:r>
      <w:r>
        <w:rPr>
          <w:rStyle w:val="VerbatimChar"/>
        </w:rPr>
        <w:t xml:space="preserve">1.1</w:t>
      </w:r>
      <w:r>
        <w:t xml:space="preserve"> </w:t>
      </w:r>
      <w:r>
        <w:t xml:space="preserve">будет дочерним для</w:t>
      </w:r>
      <w:r>
        <w:t xml:space="preserve"> </w:t>
      </w:r>
      <w:r>
        <w:rPr>
          <w:rStyle w:val="VerbatimChar"/>
        </w:rPr>
        <w:t xml:space="preserve">1</w:t>
      </w:r>
      <w:r>
        <w:t xml:space="preserve">, а</w:t>
      </w:r>
      <w:r>
        <w:t xml:space="preserve"> </w:t>
      </w:r>
      <w:r>
        <w:rPr>
          <w:rStyle w:val="VerbatimChar"/>
        </w:rPr>
        <w:t xml:space="preserve">1.1.1</w:t>
      </w:r>
      <w:r>
        <w:t xml:space="preserve"> </w:t>
      </w:r>
      <w:r>
        <w:t xml:space="preserve">- дочерним для</w:t>
      </w:r>
      <w:r>
        <w:t xml:space="preserve"> </w:t>
      </w:r>
      <w:r>
        <w:rPr>
          <w:rStyle w:val="VerbatimChar"/>
        </w:rPr>
        <w:t xml:space="preserve">1.1</w:t>
      </w:r>
      <w:r>
        <w:t xml:space="preserve">.</w:t>
      </w:r>
    </w:p>
    <w:bookmarkEnd w:id="15"/>
    <w:bookmarkStart w:id="16" w:name="имя-файла-в-рабочем-листе"/>
    <w:p>
      <w:pPr>
        <w:pStyle w:val="Heading3"/>
      </w:pPr>
      <w:r>
        <w:t xml:space="preserve">2. Имя файла в рабочем листе</w:t>
      </w:r>
    </w:p>
    <w:p>
      <w:pPr>
        <w:pStyle w:val="FirstParagraph"/>
      </w:pPr>
      <w:r>
        <w:t xml:space="preserve">В рабочих листах и WSS-описаниях имя справочника обычно указывается в параметре</w:t>
      </w:r>
      <w:r>
        <w:t xml:space="preserve"> </w:t>
      </w:r>
      <w:r>
        <w:rPr>
          <w:rStyle w:val="VerbatimChar"/>
        </w:rPr>
        <w:t xml:space="preserve">DopInf</w:t>
      </w:r>
      <w:r>
        <w:t xml:space="preserve">, например:</w:t>
      </w:r>
    </w:p>
    <w:p>
      <w:pPr>
        <w:pStyle w:val="SourceCode"/>
      </w:pPr>
      <w:r>
        <w:rPr>
          <w:rStyle w:val="VerbatimChar"/>
        </w:rPr>
        <w:t xml:space="preserve">spec.tre</w:t>
      </w:r>
      <w:r>
        <w:br/>
      </w:r>
      <w:r>
        <w:rPr>
          <w:rStyle w:val="VerbatimChar"/>
        </w:rPr>
        <w:t xml:space="preserve">7024.tre</w:t>
      </w:r>
      <w:r>
        <w:br/>
      </w:r>
      <w:r>
        <w:rPr>
          <w:rStyle w:val="VerbatimChar"/>
        </w:rPr>
        <w:t xml:space="preserve">2151.tre</w:t>
      </w:r>
    </w:p>
    <w:p>
      <w:pPr>
        <w:pStyle w:val="FirstParagraph"/>
      </w:pPr>
      <w:r>
        <w:t xml:space="preserve">Если расширение не указано,</w:t>
      </w:r>
      <w:r>
        <w:t xml:space="preserve"> </w:t>
      </w:r>
      <w:r>
        <w:rPr>
          <w:rStyle w:val="VerbatimChar"/>
        </w:rPr>
        <w:t xml:space="preserve">Tre</w:t>
      </w:r>
      <w:r>
        <w:t xml:space="preserve"> </w:t>
      </w:r>
      <w:r>
        <w:t xml:space="preserve">добавляет</w:t>
      </w:r>
      <w:r>
        <w:t xml:space="preserve"> </w:t>
      </w:r>
      <w:r>
        <w:rPr>
          <w:rStyle w:val="VerbatimChar"/>
        </w:rPr>
        <w:t xml:space="preserve">.TRE</w:t>
      </w:r>
      <w:r>
        <w:t xml:space="preserve"> </w:t>
      </w:r>
      <w:r>
        <w:t xml:space="preserve">автоматически. Имя файла нормализуется к верхнему регистру перед чтением.</w:t>
      </w:r>
    </w:p>
    <w:bookmarkEnd w:id="16"/>
    <w:bookmarkStart w:id="17" w:name="область-поиска"/>
    <w:p>
      <w:pPr>
        <w:pStyle w:val="Heading3"/>
      </w:pPr>
      <w:r>
        <w:t xml:space="preserve">3. Область поиска</w:t>
      </w:r>
    </w:p>
    <w:p>
      <w:pPr>
        <w:pStyle w:val="FirstParagraph"/>
      </w:pPr>
      <w:r>
        <w:t xml:space="preserve">По умолчанию файл читается из области базы данных (</w:t>
      </w:r>
      <w:r>
        <w:rPr>
          <w:rStyle w:val="VerbatimChar"/>
        </w:rPr>
        <w:t xml:space="preserve">APATH_DB</w:t>
      </w:r>
      <w:r>
        <w:t xml:space="preserve">). Если в спецификации имени передан признак</w:t>
      </w:r>
      <w:r>
        <w:t xml:space="preserve"> </w:t>
      </w:r>
      <w:r>
        <w:rPr>
          <w:rStyle w:val="VerbatimChar"/>
        </w:rPr>
        <w:t xml:space="preserve">SYS</w:t>
      </w:r>
      <w:r>
        <w:t xml:space="preserve">, модуль переключается на системную область (</w:t>
      </w:r>
      <w:r>
        <w:rPr>
          <w:rStyle w:val="VerbatimChar"/>
        </w:rPr>
        <w:t xml:space="preserve">APATH_SYS</w:t>
      </w:r>
      <w:r>
        <w:t xml:space="preserve">).</w:t>
      </w:r>
    </w:p>
    <w:p>
      <w:pPr>
        <w:pStyle w:val="BodyText"/>
      </w:pPr>
      <w:r>
        <w:t xml:space="preserve">Фактическое чтение выполняет провайдер базы ИРБИС, поэтому один и тот же модуль используется для локальных и внешних источников данных.</w:t>
      </w:r>
    </w:p>
    <w:bookmarkEnd w:id="17"/>
    <w:bookmarkStart w:id="18" w:name="связь-с-редакторами"/>
    <w:p>
      <w:pPr>
        <w:pStyle w:val="Heading3"/>
      </w:pPr>
      <w:r>
        <w:t xml:space="preserve">4. Связь с редакторами</w:t>
      </w:r>
    </w:p>
    <w:p>
      <w:pPr>
        <w:pStyle w:val="FirstParagraph"/>
      </w:pPr>
      <w:r>
        <w:t xml:space="preserve">В старом редакторе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TREE-справочник используется полем</w:t>
      </w:r>
      <w:r>
        <w:t xml:space="preserve"> </w:t>
      </w:r>
      <w:r>
        <w:rPr>
          <w:rStyle w:val="VerbatimChar"/>
        </w:rPr>
        <w:t xml:space="preserve">SelectTre</w:t>
      </w:r>
      <w:r>
        <w:t xml:space="preserve">. В новом редакторе</w:t>
      </w:r>
      <w:r>
        <w:t xml:space="preserve"> </w:t>
      </w:r>
      <w:r>
        <w:rPr>
          <w:rStyle w:val="VerbatimChar"/>
        </w:rPr>
        <w:t xml:space="preserve">he3</w:t>
      </w:r>
      <w:r>
        <w:t xml:space="preserve"> </w:t>
      </w:r>
      <w:r>
        <w:t xml:space="preserve">файл</w:t>
      </w:r>
      <w:r>
        <w:t xml:space="preserve"> </w:t>
      </w:r>
      <w:r>
        <w:rPr>
          <w:rStyle w:val="VerbatimChar"/>
        </w:rPr>
        <w:t xml:space="preserve">.TRE</w:t>
      </w:r>
      <w:r>
        <w:t xml:space="preserve"> </w:t>
      </w:r>
      <w:r>
        <w:t xml:space="preserve">открывается для метода ввода</w:t>
      </w:r>
      <w:r>
        <w:t xml:space="preserve"> </w:t>
      </w:r>
      <w:r>
        <w:rPr>
          <w:rStyle w:val="VerbatimChar"/>
        </w:rPr>
        <w:t xml:space="preserve">InMode = 6</w:t>
      </w:r>
      <w:r>
        <w:t xml:space="preserve">.</w:t>
      </w:r>
    </w:p>
    <w:p>
      <w:pPr>
        <w:pStyle w:val="BodyText"/>
      </w:pPr>
      <w:r>
        <w:t xml:space="preserve">Пользователь выбирает узел в окне дерева. Какой текст отображается и какое значение возвращается в запись, зависит от настройки редактора и конкретного поля рабочего листа.</w:t>
      </w:r>
    </w:p>
    <w:bookmarkEnd w:id="18"/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TRE-деревья</dc:title>
  <dc:creator/>
  <cp:keywords/>
  <dcterms:created xsi:type="dcterms:W3CDTF">2026-09-01T05:18:30Z</dcterms:created>
  <dcterms:modified xsi:type="dcterms:W3CDTF">2026-09-01T05:18:30Z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