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[I128-1181] Строка поиска Bootstrap 5 в электронном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6ffc22cda358717f9bf14482cc338b7b2f426"/>
    <w:p>
      <w:pPr>
        <w:pStyle w:val="Heading1"/>
      </w:pPr>
      <w:r>
        <w:t xml:space="preserve">[I128-1181] Строка поиска Bootstrap 5 в электронном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поискового запроса в электронном каталоге.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уточнено поведение формы поиска Bootstrap 5 в АРМ «Читатель»: ссылка «Расширенный поиск» под строкой «Я ищу» раскрывает панель с отдельными поисковыми полями и отображается компактным размером, согласованным с основной строкой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3"/>
    <w:p>
      <w:pPr>
        <w:pStyle w:val="Heading3"/>
      </w:pPr>
      <w:r>
        <w:t xml:space="preserve">1.1. 🔗 Соответствует задача: I128-1163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[I128-1163]</w:t>
        </w:r>
      </w:hyperlink>
      <w:r>
        <w:t xml:space="preserve"> </w:t>
      </w:r>
      <w:r>
        <w:t xml:space="preserve">Изменение дизайна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[I128-1181] Строка поиска Bootstrap 5 в электронном каталоге</dc:title>
  <dc:creator/>
  <cp:keywords/>
  <dcterms:created xsi:type="dcterms:W3CDTF">2026-09-05T13:12:05Z</dcterms:created>
  <dcterms:modified xsi:type="dcterms:W3CDTF">2026-09-05T13:12:05Z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