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Слияние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слияние-записей"/>
    <w:p>
      <w:pPr>
        <w:pStyle w:val="Heading1"/>
      </w:pPr>
      <w:r>
        <w:t xml:space="preserve">Слияние записей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MergeRecords</w:t>
      </w:r>
      <w:r>
        <w:t xml:space="preserve"> </w:t>
      </w:r>
      <w:r>
        <w:t xml:space="preserve">выполняет слияние записи-источника с записью-приемником при построении сводных записей. Он применяется в связке с импортом и нормализацией записей, прежде всего в сценариях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 где несколько записей из разных баз должны быть сведены в одну запись сводного каталога.</w:t>
      </w:r>
    </w:p>
    <w:p>
      <w:pPr>
        <w:pStyle w:val="BodyText"/>
      </w:pPr>
      <w:r>
        <w:t xml:space="preserve">Модуль не предоставляет отдельный пользовательский экран. Его основная роль - набор правил, функций и мергеров полей для безопасного переноса библиографических данных, связей с журналами и номерами, держателей, ссылок на полные тексты и служебных признаков.</w:t>
      </w:r>
    </w:p>
    <w:bookmarkStart w:id="9" w:name="назначение-mergerecords"/>
    <w:p>
      <w:pPr>
        <w:pStyle w:val="Heading2"/>
      </w:pPr>
      <w:r>
        <w:t xml:space="preserve">Назначение MergeRecords</w:t>
      </w:r>
    </w:p>
    <w:p>
      <w:pPr>
        <w:pStyle w:val="FirstParagraph"/>
      </w:pPr>
      <w:r>
        <w:rPr>
          <w:rStyle w:val="VerbatimChar"/>
        </w:rPr>
        <w:t xml:space="preserve">MergeRecords</w:t>
      </w:r>
      <w:r>
        <w:t xml:space="preserve"> </w:t>
      </w:r>
      <w:r>
        <w:t xml:space="preserve">решает задачу предметного слияния записей. В типовом вызове есть две записи:</w:t>
      </w:r>
    </w:p>
    <w:p>
      <w:pPr>
        <w:pStyle w:val="Compact"/>
        <w:numPr>
          <w:ilvl w:val="0"/>
          <w:numId w:val="1001"/>
        </w:numPr>
      </w:pPr>
      <w:r>
        <w:t xml:space="preserve">запись-приемник</w:t>
      </w:r>
      <w:r>
        <w:t xml:space="preserve"> </w:t>
      </w:r>
      <w:r>
        <w:rPr>
          <w:rStyle w:val="VerbatimChar"/>
        </w:rPr>
        <w:t xml:space="preserve">sr</w:t>
      </w:r>
      <w:r>
        <w:t xml:space="preserve"> </w:t>
      </w:r>
      <w:r>
        <w:t xml:space="preserve">- сводная запись, которая должна получить недостающие или уточненные данные;</w:t>
      </w:r>
    </w:p>
    <w:p>
      <w:pPr>
        <w:pStyle w:val="Compact"/>
        <w:numPr>
          <w:ilvl w:val="0"/>
          <w:numId w:val="1001"/>
        </w:numPr>
      </w:pPr>
      <w:r>
        <w:t xml:space="preserve">запись-источник</w:t>
      </w:r>
      <w:r>
        <w:t xml:space="preserve"> </w:t>
      </w:r>
      <w:r>
        <w:rPr>
          <w:rStyle w:val="VerbatimChar"/>
        </w:rPr>
        <w:t xml:space="preserve">r</w:t>
      </w:r>
      <w:r>
        <w:t xml:space="preserve"> </w:t>
      </w:r>
      <w:r>
        <w:t xml:space="preserve">- запись из внешней или локальной базы, из которой берутся данные;</w:t>
      </w:r>
    </w:p>
    <w:p>
      <w:pPr>
        <w:pStyle w:val="Compact"/>
        <w:numPr>
          <w:ilvl w:val="0"/>
          <w:numId w:val="1001"/>
        </w:numPr>
      </w:pPr>
      <w:r>
        <w:t xml:space="preserve">массив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- контекст импорта: имя базы-источника, идентификатор строки импорта, шифры связанных записей журнала и номера, служебные данные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Главная функция</w:t>
      </w:r>
      <w:r>
        <w:t xml:space="preserve"> </w:t>
      </w:r>
      <w:r>
        <w:rPr>
          <w:rStyle w:val="VerbatimChar"/>
        </w:rPr>
        <w:t xml:space="preserve">Merge($sr, $r, $res)</w:t>
      </w:r>
      <w:r>
        <w:t xml:space="preserve"> </w:t>
      </w:r>
      <w:r>
        <w:t xml:space="preserve">подготавливает окружение модуля, ищет связанные записи</w:t>
      </w:r>
      <w:r>
        <w:t xml:space="preserve"> </w:t>
      </w:r>
      <w:r>
        <w:rPr>
          <w:rStyle w:val="VerbatimChar"/>
        </w:rPr>
        <w:t xml:space="preserve">J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NJ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, сохраняет текущую запись-приемник в состоянии модуля и передает управление</w:t>
      </w:r>
      <w:r>
        <w:t xml:space="preserve"> </w:t>
      </w:r>
      <w:r>
        <w:rPr>
          <w:rStyle w:val="VerbatimChar"/>
        </w:rPr>
        <w:t xml:space="preserve">sprepareRecord</w:t>
      </w:r>
      <w:r>
        <w:t xml:space="preserve">.</w:t>
      </w:r>
    </w:p>
    <w:p>
      <w:pPr>
        <w:pStyle w:val="BodyText"/>
      </w:pPr>
      <w:r>
        <w:t xml:space="preserve">Модуль закрывает несколько групп задач:</w:t>
      </w:r>
    </w:p>
    <w:p>
      <w:pPr>
        <w:pStyle w:val="Compact"/>
        <w:numPr>
          <w:ilvl w:val="0"/>
          <w:numId w:val="1002"/>
        </w:numPr>
      </w:pPr>
      <w:r>
        <w:t xml:space="preserve">перенос полей по общим правилам и специализированным мержерам;</w:t>
      </w:r>
    </w:p>
    <w:p>
      <w:pPr>
        <w:pStyle w:val="Compact"/>
        <w:numPr>
          <w:ilvl w:val="0"/>
          <w:numId w:val="1002"/>
        </w:numPr>
      </w:pPr>
      <w:r>
        <w:t xml:space="preserve">обработка связей</w:t>
      </w:r>
      <w:r>
        <w:t xml:space="preserve"> </w:t>
      </w:r>
      <w:r>
        <w:rPr>
          <w:rStyle w:val="VerbatimChar"/>
        </w:rPr>
        <w:t xml:space="preserve">J</w:t>
      </w:r>
      <w:r>
        <w:t xml:space="preserve">/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ASP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добавление держателя записи в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t xml:space="preserve">перенос или постановка в очередь импорта ссылок и файлов полного текста;</w:t>
      </w:r>
    </w:p>
    <w:p>
      <w:pPr>
        <w:pStyle w:val="Compact"/>
        <w:numPr>
          <w:ilvl w:val="0"/>
          <w:numId w:val="1002"/>
        </w:numPr>
      </w:pPr>
      <w:r>
        <w:t xml:space="preserve">исключение технологических полей из статистического выбора значений;</w:t>
      </w:r>
    </w:p>
    <w:p>
      <w:pPr>
        <w:pStyle w:val="Compact"/>
        <w:numPr>
          <w:ilvl w:val="0"/>
          <w:numId w:val="1002"/>
        </w:numPr>
      </w:pPr>
      <w:r>
        <w:t xml:space="preserve">опциональное удаление значений, которые больше не встречаются в записях-источниках;</w:t>
      </w:r>
    </w:p>
    <w:p>
      <w:pPr>
        <w:pStyle w:val="Compact"/>
        <w:numPr>
          <w:ilvl w:val="0"/>
          <w:numId w:val="1002"/>
        </w:numPr>
      </w:pPr>
      <w:r>
        <w:t xml:space="preserve">опциональный выбор наиболее частых значений по группе источников.</w:t>
      </w:r>
    </w:p>
    <w:p>
      <w:pPr>
        <w:pStyle w:val="FirstParagraph"/>
      </w:pPr>
      <w:r>
        <w:t xml:space="preserve">Результат слияния фиксируется флагами изменения записи-приемника и записи-источника. Для диагностики модуль пишет сообщения в лог</w:t>
      </w:r>
      <w:r>
        <w:t xml:space="preserve"> </w:t>
      </w:r>
      <w:r>
        <w:rPr>
          <w:rStyle w:val="VerbatimChar"/>
        </w:rPr>
        <w:t xml:space="preserve">CSpider_Stage13.log</w:t>
      </w:r>
      <w:r>
        <w:t xml:space="preserve"> </w:t>
      </w:r>
      <w:r>
        <w:t xml:space="preserve">и специализированные логи мергеров.</w:t>
      </w:r>
    </w:p>
    <w:bookmarkEnd w:id="9"/>
    <w:bookmarkStart w:id="10" w:name="алгоритм-слияния"/>
    <w:p>
      <w:pPr>
        <w:pStyle w:val="Heading2"/>
      </w:pPr>
      <w:r>
        <w:t xml:space="preserve">Алгоритм слияния</w:t>
      </w:r>
    </w:p>
    <w:p>
      <w:pPr>
        <w:pStyle w:val="FirstParagraph"/>
      </w:pPr>
      <w:r>
        <w:t xml:space="preserve">Основной маршрут выполнения: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Merge</w:t>
      </w:r>
      <w:r>
        <w:t xml:space="preserve"> </w:t>
      </w:r>
      <w:r>
        <w:t xml:space="preserve">принимает запись-приемник, запись-источник и контекст</w:t>
      </w:r>
      <w:r>
        <w:t xml:space="preserve"> </w:t>
      </w:r>
      <w:r>
        <w:rPr>
          <w:rStyle w:val="VerbatimChar"/>
        </w:rPr>
        <w:t xml:space="preserve">res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Если в</w:t>
      </w:r>
      <w:r>
        <w:t xml:space="preserve"> </w:t>
      </w:r>
      <w:r>
        <w:rPr>
          <w:rStyle w:val="VerbatimChar"/>
        </w:rPr>
        <w:t xml:space="preserve">res</w:t>
      </w:r>
      <w:r>
        <w:t xml:space="preserve"> </w:t>
      </w:r>
      <w:r>
        <w:t xml:space="preserve">есть шифры</w:t>
      </w:r>
      <w:r>
        <w:t xml:space="preserve"> </w:t>
      </w:r>
      <w:r>
        <w:rPr>
          <w:rStyle w:val="VerbatimChar"/>
        </w:rPr>
        <w:t xml:space="preserve">jssh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njssh</w:t>
      </w:r>
      <w:r>
        <w:t xml:space="preserve">, модуль ищет связанные записи журнала и номера в базе</w:t>
      </w:r>
      <w:r>
        <w:t xml:space="preserve"> </w:t>
      </w:r>
      <w:r>
        <w:rPr>
          <w:rStyle w:val="VerbatimChar"/>
        </w:rPr>
        <w:t xml:space="preserve">ESVODT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sprepareRecord</w:t>
      </w:r>
      <w:r>
        <w:t xml:space="preserve"> </w:t>
      </w:r>
      <w:r>
        <w:t xml:space="preserve">очищает пустые поля записи-приемника и проверяет режим эталонной записи.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sprepareMergeClientRecord</w:t>
      </w:r>
      <w:r>
        <w:t xml:space="preserve"> </w:t>
      </w:r>
      <w:r>
        <w:t xml:space="preserve">проходит по полям записи-источника.</w:t>
      </w:r>
    </w:p>
    <w:p>
      <w:pPr>
        <w:pStyle w:val="Compact"/>
        <w:numPr>
          <w:ilvl w:val="0"/>
          <w:numId w:val="1003"/>
        </w:numPr>
      </w:pPr>
      <w:r>
        <w:t xml:space="preserve">Для каждого поля сначала вызывается</w:t>
      </w:r>
      <w:r>
        <w:t xml:space="preserve"> </w:t>
      </w:r>
      <w:r>
        <w:rPr>
          <w:rStyle w:val="VerbatimChar"/>
        </w:rPr>
        <w:t xml:space="preserve">SetField</w:t>
      </w:r>
      <w:r>
        <w:t xml:space="preserve">, затем при необходимости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TryToLoadMerger</w:t>
      </w:r>
      <w:r>
        <w:t xml:space="preserve"> </w:t>
      </w:r>
      <w:r>
        <w:t xml:space="preserve">ищет специализированный мергер в</w:t>
      </w:r>
      <w:r>
        <w:t xml:space="preserve"> </w:t>
      </w:r>
      <w:r>
        <w:rPr>
          <w:rStyle w:val="VerbatimChar"/>
        </w:rPr>
        <w:t xml:space="preserve">modules/MergeRecords/FieldMergers/&lt;тип&gt;/&lt;поле&gt;.inc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После общего слияния последовательно вызываются предметные функции</w:t>
      </w:r>
      <w:r>
        <w:t xml:space="preserve"> </w:t>
      </w:r>
      <w:r>
        <w:rPr>
          <w:rStyle w:val="VerbatimChar"/>
        </w:rPr>
        <w:t xml:space="preserve">sprepareNJ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sprepare330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sprepare691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sprepareRDR</w:t>
      </w:r>
      <w:r>
        <w:t xml:space="preserve">,</w:t>
      </w:r>
      <w:r>
        <w:t xml:space="preserve"> </w:t>
      </w:r>
      <w:r>
        <w:rPr>
          <w:rStyle w:val="VerbatimChar"/>
        </w:rPr>
        <w:t xml:space="preserve">sprepare902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Для оставшихся полей может быть построена частотная карта значений по записям-источникам из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.</w:t>
      </w:r>
    </w:p>
    <w:p>
      <w:pPr>
        <w:pStyle w:val="FirstParagraph"/>
      </w:pPr>
      <w:r>
        <w:t xml:space="preserve">Режим эталонной записи работает двумя способами:</w:t>
      </w:r>
    </w:p>
    <w:p>
      <w:pPr>
        <w:pStyle w:val="Compact"/>
        <w:numPr>
          <w:ilvl w:val="0"/>
          <w:numId w:val="1004"/>
        </w:numPr>
      </w:pPr>
      <w:r>
        <w:t xml:space="preserve">через настройку</w:t>
      </w:r>
      <w:r>
        <w:t xml:space="preserve"> </w:t>
      </w:r>
      <w:r>
        <w:rPr>
          <w:rStyle w:val="VerbatimChar"/>
        </w:rPr>
        <w:t xml:space="preserve">importEtalonDb</w:t>
      </w:r>
      <w:r>
        <w:t xml:space="preserve">: если уже есть запись из эталонной БД, остальные источники не меняют основное содержание, но держатель</w:t>
      </w:r>
      <w:r>
        <w:t xml:space="preserve"> </w:t>
      </w:r>
      <w:r>
        <w:rPr>
          <w:rStyle w:val="VerbatimChar"/>
        </w:rPr>
        <w:t xml:space="preserve">902</w:t>
      </w:r>
      <w:r>
        <w:t xml:space="preserve"> </w:t>
      </w:r>
      <w:r>
        <w:t xml:space="preserve">все равно обрабатывается;</w:t>
      </w:r>
    </w:p>
    <w:p>
      <w:pPr>
        <w:pStyle w:val="Compact"/>
        <w:numPr>
          <w:ilvl w:val="0"/>
          <w:numId w:val="1004"/>
        </w:numPr>
      </w:pPr>
      <w:r>
        <w:t xml:space="preserve">через формат</w:t>
      </w:r>
      <w:r>
        <w:t xml:space="preserve"> </w:t>
      </w:r>
      <w:r>
        <w:rPr>
          <w:rStyle w:val="VerbatimChar"/>
        </w:rPr>
        <w:t xml:space="preserve">fmtEtalonESVODT</w:t>
      </w:r>
      <w:r>
        <w:t xml:space="preserve">: если формат для сводной записи возвращает</w:t>
      </w:r>
      <w:r>
        <w:t xml:space="preserve"> </w:t>
      </w:r>
      <w:r>
        <w:rPr>
          <w:rStyle w:val="VerbatimChar"/>
        </w:rPr>
        <w:t xml:space="preserve">1</w:t>
      </w:r>
      <w:r>
        <w:t xml:space="preserve">, основное слияние пропускается, а обрабатывается только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p>
      <w:pPr>
        <w:pStyle w:val="FirstParagraph"/>
      </w:pPr>
      <w:r>
        <w:t xml:space="preserve">Особые функции: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sprepareNJ</w:t>
      </w:r>
      <w:r>
        <w:t xml:space="preserve"> </w:t>
      </w:r>
      <w:r>
        <w:t xml:space="preserve">поддерживает связи номера журнала с записью журнала и при необходимости пытается подтянуть</w:t>
      </w:r>
      <w:r>
        <w:t xml:space="preserve"> </w:t>
      </w:r>
      <w:r>
        <w:rPr>
          <w:rStyle w:val="VerbatimChar"/>
        </w:rPr>
        <w:t xml:space="preserve">922</w:t>
      </w:r>
      <w:r>
        <w:t xml:space="preserve"> </w:t>
      </w:r>
      <w:r>
        <w:t xml:space="preserve">из</w:t>
      </w:r>
      <w:r>
        <w:t xml:space="preserve"> </w:t>
      </w:r>
      <w:r>
        <w:rPr>
          <w:rStyle w:val="VerbatimChar"/>
        </w:rPr>
        <w:t xml:space="preserve">MARS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sprepareASP</w:t>
      </w:r>
      <w:r>
        <w:t xml:space="preserve"> </w:t>
      </w:r>
      <w:r>
        <w:t xml:space="preserve">устанавливает связь аналитической записи с номером журнала через</w:t>
      </w:r>
      <w:r>
        <w:t xml:space="preserve"> </w:t>
      </w:r>
      <w:r>
        <w:rPr>
          <w:rStyle w:val="VerbatimChar"/>
        </w:rPr>
        <w:t xml:space="preserve">463^W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sprepare330</w:t>
      </w:r>
      <w:r>
        <w:t xml:space="preserve"> </w:t>
      </w:r>
      <w:r>
        <w:t xml:space="preserve">выбирает аннотацию с большим числом повторений поля</w:t>
      </w:r>
      <w:r>
        <w:t xml:space="preserve"> </w:t>
      </w:r>
      <w:r>
        <w:rPr>
          <w:rStyle w:val="VerbatimChar"/>
        </w:rPr>
        <w:t xml:space="preserve">330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sprepare922</w:t>
      </w:r>
      <w:r>
        <w:t xml:space="preserve"> </w:t>
      </w:r>
      <w:r>
        <w:t xml:space="preserve">выбирает оглавление с большим числом повторений поля</w:t>
      </w:r>
      <w:r>
        <w:t xml:space="preserve"> </w:t>
      </w:r>
      <w:r>
        <w:rPr>
          <w:rStyle w:val="VerbatimChar"/>
        </w:rPr>
        <w:t xml:space="preserve">922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sprepareRDR</w:t>
      </w:r>
      <w:r>
        <w:t xml:space="preserve"> </w:t>
      </w:r>
      <w:r>
        <w:t xml:space="preserve">добавляет служебные данные авторизации для читательских записей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sprepare902</w:t>
      </w:r>
      <w:r>
        <w:t xml:space="preserve"> </w:t>
      </w:r>
      <w:r>
        <w:t xml:space="preserve">добавляет или обновляет сведения о держателе документа.</w:t>
      </w:r>
    </w:p>
    <w:p>
      <w:pPr>
        <w:pStyle w:val="FirstParagraph"/>
      </w:pPr>
      <w:r>
        <w:t xml:space="preserve">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,</w:t>
      </w:r>
      <w:r>
        <w:t xml:space="preserve"> </w:t>
      </w:r>
      <w:r>
        <w:rPr>
          <w:rStyle w:val="VerbatimChar"/>
        </w:rPr>
        <w:t xml:space="preserve">902</w:t>
      </w:r>
      <w:r>
        <w:t xml:space="preserve">,</w:t>
      </w:r>
      <w:r>
        <w:t xml:space="preserve"> </w:t>
      </w:r>
      <w:r>
        <w:rPr>
          <w:rStyle w:val="VerbatimChar"/>
        </w:rPr>
        <w:t xml:space="preserve">903</w:t>
      </w:r>
      <w:r>
        <w:t xml:space="preserve">,</w:t>
      </w:r>
      <w:r>
        <w:t xml:space="preserve"> </w:t>
      </w:r>
      <w:r>
        <w:rPr>
          <w:rStyle w:val="VerbatimChar"/>
        </w:rPr>
        <w:t xml:space="preserve">907</w:t>
      </w:r>
      <w:r>
        <w:t xml:space="preserve">,</w:t>
      </w:r>
      <w:r>
        <w:t xml:space="preserve"> </w:t>
      </w:r>
      <w:r>
        <w:rPr>
          <w:rStyle w:val="VerbatimChar"/>
        </w:rPr>
        <w:t xml:space="preserve">1288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поля, обработанные специализированными мержерами, исключаются из статистического выбора значений через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.</w:t>
      </w:r>
    </w:p>
    <w:bookmarkEnd w:id="10"/>
    <w:bookmarkStart w:id="11" w:name="настройки-mergerecords"/>
    <w:p>
      <w:pPr>
        <w:pStyle w:val="Heading2"/>
      </w:pPr>
      <w:r>
        <w:t xml:space="preserve">Настройки MergeRecords</w:t>
      </w:r>
    </w:p>
    <w:p>
      <w:pPr>
        <w:pStyle w:val="FirstParagraph"/>
      </w:pPr>
      <w:r>
        <w:t xml:space="preserve">Настройки модуля хранятся в записи модуля и редактируются через стандартный редактор настроек.</w:t>
      </w:r>
    </w:p>
    <w:p>
      <w:pPr>
        <w:pStyle w:val="BodyText"/>
      </w:pPr>
      <w:r>
        <w:t xml:space="preserve">Основные группы настроек: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importEtalonDb</w:t>
      </w:r>
      <w:r>
        <w:t xml:space="preserve"> </w:t>
      </w:r>
      <w:r>
        <w:t xml:space="preserve">- имя эталонной БД-источника;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fmtEtalonESVODT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fmtEtalonESVODTModule</w:t>
      </w:r>
      <w:r>
        <w:t xml:space="preserve"> </w:t>
      </w:r>
      <w:r>
        <w:t xml:space="preserve">- формат, определяющий, является ли сводная запись эталонной;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fieldRules</w:t>
      </w:r>
      <w:r>
        <w:t xml:space="preserve"> </w:t>
      </w:r>
      <w:r>
        <w:t xml:space="preserve">- специальные правила обработки отдельных полей;</w:t>
      </w:r>
    </w:p>
    <w:p>
      <w:pPr>
        <w:pStyle w:val="Compact"/>
        <w:numPr>
          <w:ilvl w:val="0"/>
          <w:numId w:val="1006"/>
        </w:numPr>
      </w:pPr>
      <w:r>
        <w:t xml:space="preserve">настройки импорта ссылок из</w:t>
      </w:r>
      <w:r>
        <w:t xml:space="preserve"> </w:t>
      </w:r>
      <w:r>
        <w:rPr>
          <w:rStyle w:val="VerbatimChar"/>
        </w:rPr>
        <w:t xml:space="preserve">951</w:t>
      </w:r>
      <w:r>
        <w:t xml:space="preserve">,</w:t>
      </w:r>
      <w:r>
        <w:t xml:space="preserve"> </w:t>
      </w:r>
      <w:r>
        <w:rPr>
          <w:rStyle w:val="VerbatimChar"/>
        </w:rPr>
        <w:t xml:space="preserve">955</w:t>
      </w:r>
      <w:r>
        <w:t xml:space="preserve">,</w:t>
      </w:r>
      <w:r>
        <w:t xml:space="preserve"> </w:t>
      </w:r>
      <w:r>
        <w:rPr>
          <w:rStyle w:val="VerbatimChar"/>
        </w:rPr>
        <w:t xml:space="preserve">1289</w:t>
      </w:r>
      <w:r>
        <w:t xml:space="preserve"> </w:t>
      </w:r>
      <w:r>
        <w:t xml:space="preserve">и масочные правила для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import951UrlFilterFunctionName</w:t>
      </w:r>
      <w:r>
        <w:t xml:space="preserve"> </w:t>
      </w:r>
      <w:r>
        <w:t xml:space="preserve">- имя функции фильтра ссылок;</w:t>
      </w:r>
    </w:p>
    <w:p>
      <w:pPr>
        <w:pStyle w:val="Compact"/>
        <w:numPr>
          <w:ilvl w:val="0"/>
          <w:numId w:val="1006"/>
        </w:numPr>
      </w:pPr>
      <w:r>
        <w:t xml:space="preserve">дополнительные флаги</w:t>
      </w:r>
      <w:r>
        <w:t xml:space="preserve"> </w:t>
      </w:r>
      <w:r>
        <w:rPr>
          <w:rStyle w:val="VerbatimChar"/>
        </w:rPr>
        <w:t xml:space="preserve">advImportAuthorWorkPlace</w:t>
      </w:r>
      <w:r>
        <w:t xml:space="preserve">,</w:t>
      </w:r>
      <w:r>
        <w:t xml:space="preserve"> </w:t>
      </w:r>
      <w:r>
        <w:rPr>
          <w:rStyle w:val="VerbatimChar"/>
        </w:rPr>
        <w:t xml:space="preserve">advRemoveFieldsWithNoSources</w:t>
      </w:r>
      <w:r>
        <w:t xml:space="preserve">,</w:t>
      </w:r>
      <w:r>
        <w:t xml:space="preserve"> </w:t>
      </w:r>
      <w:r>
        <w:rPr>
          <w:rStyle w:val="VerbatimChar"/>
        </w:rPr>
        <w:t xml:space="preserve">advUseSataValuesForDefaultFields</w:t>
      </w:r>
      <w:r>
        <w:t xml:space="preserve">.</w:t>
      </w:r>
    </w:p>
    <w:p>
      <w:pPr>
        <w:pStyle w:val="FirstParagraph"/>
      </w:pPr>
      <w:r>
        <w:t xml:space="preserve">Правила</w:t>
      </w:r>
      <w:r>
        <w:t xml:space="preserve"> </w:t>
      </w:r>
      <w:r>
        <w:rPr>
          <w:rStyle w:val="VerbatimChar"/>
        </w:rPr>
        <w:t xml:space="preserve">fieldRules</w:t>
      </w:r>
      <w:r>
        <w:t xml:space="preserve"> </w:t>
      </w:r>
      <w:r>
        <w:t xml:space="preserve">задаются по БД-источнику и номеру поля. Поддерживаются режимы: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</w:t>
      </w:r>
      <w:r>
        <w:t xml:space="preserve"> </w:t>
      </w:r>
      <w:r>
        <w:t xml:space="preserve">- не обрабатывать поле;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replacefield</w:t>
      </w:r>
      <w:r>
        <w:t xml:space="preserve"> </w:t>
      </w:r>
      <w:r>
        <w:t xml:space="preserve">- использовать все повторения поля из записи-источника;</w:t>
      </w:r>
    </w:p>
    <w:p>
      <w:pPr>
        <w:pStyle w:val="Compact"/>
        <w:numPr>
          <w:ilvl w:val="0"/>
          <w:numId w:val="1007"/>
        </w:numPr>
      </w:pPr>
      <w:r>
        <w:rPr>
          <w:rStyle w:val="VerbatimChar"/>
        </w:rPr>
        <w:t xml:space="preserve">skipifsvodexists</w:t>
      </w:r>
      <w:r>
        <w:t xml:space="preserve"> </w:t>
      </w:r>
      <w:r>
        <w:t xml:space="preserve">- не обрабатывать поле, если в сводной записи оно уже заполнено.</w:t>
      </w:r>
    </w:p>
    <w:p>
      <w:pPr>
        <w:pStyle w:val="FirstParagraph"/>
      </w:pPr>
      <w:r>
        <w:t xml:space="preserve">Настройки импорта ссылок управляют тем, какие данные из</w:t>
      </w:r>
      <w:r>
        <w:t xml:space="preserve"> </w:t>
      </w:r>
      <w:r>
        <w:rPr>
          <w:rStyle w:val="VerbatimChar"/>
        </w:rPr>
        <w:t xml:space="preserve">951^I</w:t>
      </w:r>
      <w:r>
        <w:t xml:space="preserve">,</w:t>
      </w:r>
      <w:r>
        <w:t xml:space="preserve"> </w:t>
      </w:r>
      <w:r>
        <w:rPr>
          <w:rStyle w:val="VerbatimChar"/>
        </w:rPr>
        <w:t xml:space="preserve">951^A</w:t>
      </w:r>
      <w:r>
        <w:t xml:space="preserve">,</w:t>
      </w:r>
      <w:r>
        <w:t xml:space="preserve"> </w:t>
      </w:r>
      <w:r>
        <w:rPr>
          <w:rStyle w:val="VerbatimChar"/>
        </w:rPr>
        <w:t xml:space="preserve">955^A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1289^A</w:t>
      </w:r>
      <w:r>
        <w:t xml:space="preserve"> </w:t>
      </w:r>
      <w:r>
        <w:t xml:space="preserve">переносить в сводную запись или отправлять в очередь</w:t>
      </w:r>
      <w:r>
        <w:t xml:space="preserve"> </w:t>
      </w:r>
      <w:r>
        <w:rPr>
          <w:rStyle w:val="VerbatimChar"/>
        </w:rPr>
        <w:t xml:space="preserve">FT/ImportFromLink</w:t>
      </w:r>
      <w:r>
        <w:t xml:space="preserve">. Функции</w:t>
      </w:r>
      <w:r>
        <w:t xml:space="preserve"> </w:t>
      </w:r>
      <w:r>
        <w:rPr>
          <w:rStyle w:val="VerbatimChar"/>
        </w:rPr>
        <w:t xml:space="preserve">UrlFilterFunction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UrlFilterFunctionGPNTB</w:t>
      </w:r>
      <w:r>
        <w:t xml:space="preserve"> </w:t>
      </w:r>
      <w:r>
        <w:t xml:space="preserve">могут разрешать или запрещать импорт конкретной ссылки по контексту источника.</w:t>
      </w:r>
    </w:p>
    <w:p>
      <w:pPr>
        <w:pStyle w:val="BodyText"/>
      </w:pPr>
      <w:r>
        <w:t xml:space="preserve">Файлы</w:t>
      </w:r>
      <w:r>
        <w:t xml:space="preserve"> </w:t>
      </w:r>
      <w:r>
        <w:rPr>
          <w:rStyle w:val="VerbatimChar"/>
        </w:rPr>
        <w:t xml:space="preserve">rl/*.rl</w:t>
      </w:r>
      <w:r>
        <w:t xml:space="preserve"> </w:t>
      </w:r>
      <w:r>
        <w:t xml:space="preserve">используются для построения настроек заимствования полей по типам документов. В них перечислены поля, которые могут быть доступны в редакторе настроек, а также поля, отключенные как технологические или локальные для конкретной организации.</w:t>
      </w:r>
    </w:p>
    <w:bookmarkEnd w:id="11"/>
    <w:bookmarkStart w:id="12" w:name="мергеры-полей"/>
    <w:p>
      <w:pPr>
        <w:pStyle w:val="Heading2"/>
      </w:pPr>
      <w:r>
        <w:t xml:space="preserve">Мергеры полей</w:t>
      </w:r>
    </w:p>
    <w:p>
      <w:pPr>
        <w:pStyle w:val="FirstParagraph"/>
      </w:pPr>
      <w:r>
        <w:t xml:space="preserve">Специализированные мержеры полей находятся в каталоге</w:t>
      </w:r>
      <w:r>
        <w:t xml:space="preserve"> </w:t>
      </w:r>
      <w:r>
        <w:rPr>
          <w:rStyle w:val="VerbatimChar"/>
        </w:rPr>
        <w:t xml:space="preserve">modules/MergeRecords/FieldMergers</w:t>
      </w:r>
      <w:r>
        <w:t xml:space="preserve">.</w:t>
      </w:r>
    </w:p>
    <w:p>
      <w:pPr>
        <w:pStyle w:val="BodyText"/>
      </w:pPr>
      <w:r>
        <w:t xml:space="preserve">Для поля конкретного типа записи модуль ищет файл:</w:t>
      </w:r>
    </w:p>
    <w:p>
      <w:pPr>
        <w:pStyle w:val="SourceCode"/>
      </w:pPr>
      <w:r>
        <w:rPr>
          <w:rStyle w:val="VerbatimChar"/>
        </w:rPr>
        <w:t xml:space="preserve">modules/MergeRecords/FieldMergers/&lt;тип записи&gt;/&lt;номер поля&gt;.inc</w:t>
      </w:r>
    </w:p>
    <w:p>
      <w:pPr>
        <w:pStyle w:val="FirstParagraph"/>
      </w:pPr>
      <w:r>
        <w:t xml:space="preserve">Имя класса должно соответствовать шаблону:</w:t>
      </w:r>
    </w:p>
    <w:p>
      <w:pPr>
        <w:pStyle w:val="SourceCode"/>
      </w:pPr>
      <w:r>
        <w:rPr>
          <w:rStyle w:val="VerbatimChar"/>
        </w:rPr>
        <w:t xml:space="preserve">CSpiderFieldMerger_&lt;TYPE&gt;_&lt;FIELD&gt;</w:t>
      </w:r>
    </w:p>
    <w:p>
      <w:pPr>
        <w:pStyle w:val="FirstParagraph"/>
      </w:pPr>
      <w:r>
        <w:t xml:space="preserve">Класс может реализовывать методы: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MergeField($res, $rectype, $r, $sr)</w:t>
      </w:r>
      <w:r>
        <w:t xml:space="preserve"> </w:t>
      </w:r>
      <w:r>
        <w:t xml:space="preserve">- обработка поля целиком;</w:t>
      </w:r>
    </w:p>
    <w:p>
      <w:pPr>
        <w:pStyle w:val="Compact"/>
        <w:numPr>
          <w:ilvl w:val="0"/>
          <w:numId w:val="1008"/>
        </w:numPr>
      </w:pPr>
      <w:r>
        <w:rPr>
          <w:rStyle w:val="VerbatimChar"/>
        </w:rPr>
        <w:t xml:space="preserve">MergeOcc($res, $rectype, $r, $sr, $occ)</w:t>
      </w:r>
      <w:r>
        <w:t xml:space="preserve"> </w:t>
      </w:r>
      <w:r>
        <w:t xml:space="preserve">- обработка конкретного повторения поля.</w:t>
      </w:r>
    </w:p>
    <w:p>
      <w:pPr>
        <w:pStyle w:val="FirstParagraph"/>
      </w:pPr>
      <w:r>
        <w:t xml:space="preserve">Если специализированного класса нет,</w:t>
      </w:r>
      <w:r>
        <w:t xml:space="preserve"> </w:t>
      </w:r>
      <w:r>
        <w:rPr>
          <w:rStyle w:val="VerbatimChar"/>
        </w:rPr>
        <w:t xml:space="preserve">SetFieldOcc</w:t>
      </w:r>
      <w:r>
        <w:t xml:space="preserve"> </w:t>
      </w:r>
      <w:r>
        <w:t xml:space="preserve">использует базовое поведение: когда в записи-приемнике меньше повторений поля, недостающее повторение копируется из записи-источника.</w:t>
      </w:r>
    </w:p>
    <w:p>
      <w:pPr>
        <w:pStyle w:val="BodyText"/>
      </w:pPr>
      <w:r>
        <w:t xml:space="preserve">Общие вспомогательные мержеры: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Author.inc</w:t>
      </w:r>
      <w:r>
        <w:t xml:space="preserve"> </w:t>
      </w:r>
      <w:r>
        <w:t xml:space="preserve">- нормализация авторских полей, подполя авторитетной записи, пробелов и места работы автора;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KeyWords.inc</w:t>
      </w:r>
      <w:r>
        <w:t xml:space="preserve"> </w:t>
      </w:r>
      <w:r>
        <w:t xml:space="preserve">- нормализация ключевых слов, разбиение по разделителям и пересборка уникального списка;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ReplaceField.inc</w:t>
      </w:r>
      <w:r>
        <w:t xml:space="preserve"> </w:t>
      </w:r>
      <w:r>
        <w:t xml:space="preserve">- замена значения поля;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SingleFieldOcc.inc</w:t>
      </w:r>
      <w:r>
        <w:t xml:space="preserve"> </w:t>
      </w:r>
      <w:r>
        <w:t xml:space="preserve">- ограничение поля одним повторением;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SingleFieldOccReplaceSubField.inc</w:t>
      </w:r>
      <w:r>
        <w:t xml:space="preserve"> </w:t>
      </w:r>
      <w:r>
        <w:t xml:space="preserve">- сочетание ограничения повторений и замены значения;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url.inc</w:t>
      </w:r>
      <w:r>
        <w:t xml:space="preserve"> </w:t>
      </w:r>
      <w:r>
        <w:t xml:space="preserve">- перенос ссылок, внутренних файлов, индексов и постановка задач импорта полного текста;</w:t>
      </w:r>
    </w:p>
    <w:p>
      <w:pPr>
        <w:pStyle w:val="Compact"/>
        <w:numPr>
          <w:ilvl w:val="0"/>
          <w:numId w:val="1009"/>
        </w:numPr>
      </w:pPr>
      <w:r>
        <w:rPr>
          <w:rStyle w:val="VerbatimChar"/>
        </w:rPr>
        <w:t xml:space="preserve">event.inc</w:t>
      </w:r>
      <w:r>
        <w:t xml:space="preserve"> </w:t>
      </w:r>
      <w:r>
        <w:t xml:space="preserve">- перенос ссылок событий.</w:t>
      </w:r>
    </w:p>
    <w:p>
      <w:pPr>
        <w:pStyle w:val="FirstParagraph"/>
      </w:pPr>
      <w:r>
        <w:t xml:space="preserve">Каталоги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RDRU</w:t>
      </w:r>
      <w:r>
        <w:t xml:space="preserve">,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MUSP</w:t>
      </w:r>
      <w:r>
        <w:t xml:space="preserve">,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</w:t>
      </w:r>
      <w:r>
        <w:t xml:space="preserve"> </w:t>
      </w:r>
      <w:r>
        <w:rPr>
          <w:rStyle w:val="VerbatimChar"/>
        </w:rPr>
        <w:t xml:space="preserve">Event</w:t>
      </w:r>
      <w:r>
        <w:t xml:space="preserve"> </w:t>
      </w:r>
      <w:r>
        <w:t xml:space="preserve">содержат привязки общих алгоритмов к конкретным типам записей и полям.</w:t>
      </w:r>
    </w:p>
    <w:p>
      <w:pPr>
        <w:pStyle w:val="BodyText"/>
      </w:pPr>
      <w:r>
        <w:t xml:space="preserve">При добавлении нового мержера нужно учитывать три правила:</w:t>
      </w:r>
    </w:p>
    <w:p>
      <w:pPr>
        <w:pStyle w:val="Compact"/>
        <w:numPr>
          <w:ilvl w:val="0"/>
          <w:numId w:val="1010"/>
        </w:numPr>
      </w:pPr>
      <w:r>
        <w:t xml:space="preserve">после ручной обработки поля вызвать</w:t>
      </w:r>
      <w:r>
        <w:t xml:space="preserve"> </w:t>
      </w:r>
      <w:r>
        <w:rPr>
          <w:rStyle w:val="VerbatimChar"/>
        </w:rPr>
        <w:t xml:space="preserve">UnsetStatField</w:t>
      </w:r>
      <w:r>
        <w:t xml:space="preserve">, если поле не должно участвовать в статистическом выборе значений;</w:t>
      </w:r>
    </w:p>
    <w:p>
      <w:pPr>
        <w:pStyle w:val="Compact"/>
        <w:numPr>
          <w:ilvl w:val="0"/>
          <w:numId w:val="1010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RetChanged</w:t>
      </w:r>
      <w:r>
        <w:t xml:space="preserve"> </w:t>
      </w:r>
      <w:r>
        <w:t xml:space="preserve">или флаги</w:t>
      </w:r>
      <w:r>
        <w:t xml:space="preserve"> </w:t>
      </w:r>
      <w:r>
        <w:rPr>
          <w:rStyle w:val="VerbatimChar"/>
        </w:rPr>
        <w:t xml:space="preserve">changers</w:t>
      </w:r>
      <w:r>
        <w:t xml:space="preserve"> </w:t>
      </w:r>
      <w:r>
        <w:t xml:space="preserve">явно отмечать изменение записи-приемника или записи-источника;</w:t>
      </w:r>
    </w:p>
    <w:p>
      <w:pPr>
        <w:pStyle w:val="Compact"/>
        <w:numPr>
          <w:ilvl w:val="0"/>
          <w:numId w:val="1010"/>
        </w:numPr>
      </w:pPr>
      <w:r>
        <w:t xml:space="preserve">не выполнять массовую замену локальных полей организации без отдельного правила в настройках.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Слияние записей</dc:title>
  <dc:creator/>
  <cp:keywords/>
  <dcterms:created xsi:type="dcterms:W3CDTF">2026-09-04T22:26:47Z</dcterms:created>
  <dcterms:modified xsi:type="dcterms:W3CDTF">2026-09-04T22:26:47Z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