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токол-доступа"/>
    <w:p>
      <w:pPr>
        <w:pStyle w:val="Heading1"/>
      </w:pPr>
      <w:r>
        <w:t xml:space="preserve">Протокол доступа</w:t>
      </w:r>
    </w:p>
    <w:p>
      <w:pPr>
        <w:pStyle w:val="FirstParagraph"/>
      </w:pPr>
      <w:r>
        <w:t xml:space="preserve">Протокол доступа ведется во внутренней таблице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связанной с записью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 Таблица инициализируется при запуске модуля и содержит основные атрибуты события информационной безопасности.</w:t>
      </w:r>
    </w:p>
    <w:bookmarkStart w:id="9" w:name="состав-записи-протокола"/>
    <w:p>
      <w:pPr>
        <w:pStyle w:val="Heading2"/>
      </w:pPr>
      <w:r>
        <w:t xml:space="preserve">1. Состав записи протокола</w:t>
      </w:r>
    </w:p>
    <w:p>
      <w:pPr>
        <w:pStyle w:val="FirstParagraph"/>
      </w:pPr>
      <w:r>
        <w:t xml:space="preserve">Каждая запись содержит: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Объект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objectTitle</w:t>
      </w:r>
      <w:r>
        <w:t xml:space="preserve">) - наименование объекта, к которому относится операция;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objectId</w:t>
      </w:r>
      <w:r>
        <w:t xml:space="preserve">) - технический идентификатор объекта;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Время</w:t>
      </w:r>
      <w:r>
        <w:t xml:space="preserve"> </w:t>
      </w:r>
      <w:r>
        <w:t xml:space="preserve">(</w:t>
      </w:r>
      <w:r>
        <w:rPr>
          <w:rStyle w:val="VerbatimChar"/>
        </w:rPr>
        <w:t xml:space="preserve">time</w:t>
      </w:r>
      <w:r>
        <w:t xml:space="preserve">) - дата и время события;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Операция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operationName</w:t>
      </w:r>
      <w:r>
        <w:t xml:space="preserve">) - наименование выполненной или запрошенной операции;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operationSuccess</w:t>
      </w:r>
      <w:r>
        <w:t xml:space="preserve">) - успешное выполнение или ошибка;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userName</w:t>
      </w:r>
      <w:r>
        <w:t xml:space="preserve">) - логин пользователя;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IP-адрес пользователя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userIP</w:t>
      </w:r>
      <w:r>
        <w:t xml:space="preserve">) - адрес клиента, с которого выполнена операция.</w:t>
      </w:r>
    </w:p>
    <w:p>
      <w:pPr>
        <w:pStyle w:val="FirstParagraph"/>
      </w:pPr>
      <w:r>
        <w:t xml:space="preserve">Эти поля позволяют определить, с каким объектом выполнялась операция, кто ее выполнил, с какого IP-адреса пришел запрос и каким был результат действия.</w:t>
      </w:r>
    </w:p>
    <w:bookmarkEnd w:id="9"/>
    <w:bookmarkStart w:id="10" w:name="просмотр-арм"/>
    <w:p>
      <w:pPr>
        <w:pStyle w:val="Heading2"/>
      </w:pPr>
      <w:r>
        <w:t xml:space="preserve">2. Просмотр АРМ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AIS/Show</w:t>
      </w:r>
      <w:r>
        <w:t xml:space="preserve"> </w:t>
      </w:r>
      <w:r>
        <w:t xml:space="preserve">открывает интерфейс АРМ администратора информационной безопасности. Перед показом интерфейса система проверяет:</w:t>
      </w:r>
    </w:p>
    <w:p>
      <w:pPr>
        <w:pStyle w:val="Compact"/>
        <w:numPr>
          <w:ilvl w:val="0"/>
          <w:numId w:val="1002"/>
        </w:numPr>
      </w:pPr>
      <w:r>
        <w:t xml:space="preserve">установлена ли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разрешен ли текущий IP-адрес, если в настройке модуля задан список строгих IP;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FirstParagraph"/>
      </w:pPr>
      <w:r>
        <w:t xml:space="preserve">Если проверка не пройдена, система выводит сообщение об ошибке и не открывает АРМ.</w:t>
      </w:r>
    </w:p>
    <w:bookmarkEnd w:id="10"/>
    <w:bookmarkStart w:id="12" w:name="запись-события"/>
    <w:p>
      <w:pPr>
        <w:pStyle w:val="Heading2"/>
      </w:pPr>
      <w:r>
        <w:t xml:space="preserve">3. Запись события</w:t>
      </w:r>
    </w:p>
    <w:p>
      <w:pPr>
        <w:pStyle w:val="FirstParagraph"/>
      </w:pPr>
      <w:r>
        <w:t xml:space="preserve">События добавляются вызовом функции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 Если пользователь не передан явно, используется текущий логин пользователя. Если IP-адрес не передан явно, используется адрес текущего запроса.</w:t>
      </w:r>
    </w:p>
    <w:p>
      <w:pPr>
        <w:pStyle w:val="BodyText"/>
      </w:pPr>
      <w:r>
        <w:t xml:space="preserve">Дополнительно событие может быть отправлено в системный журнал операционной системы или записано в CSV-файл, если соответствующие параметры настроены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BodyText"/>
      </w:pPr>
      <w:r>
        <w:t xml:space="preserve">Для записи в CSV используется параметр</w:t>
      </w:r>
      <w:r>
        <w:t xml:space="preserve"> </w:t>
      </w:r>
      <w:hyperlink r:id="rId11">
        <w:r>
          <w:rPr>
            <w:rStyle w:val="Hyperlink"/>
          </w:rPr>
          <w:t xml:space="preserve">«Путь к csv-файлу для записи событий»</w:t>
        </w:r>
      </w:hyperlink>
      <w:r>
        <w:t xml:space="preserve">. Он не меняет состав внутреннего протокола: при штатной записи события данные сохраняются в таблицу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а при заполненном пути дополнительно дописываются во внешний файл. Если путь пустой, CSV-файл не создается и внешняя запись не выполняется.</w:t>
      </w:r>
    </w:p>
    <w:p>
      <w:pPr>
        <w:pStyle w:val="BodyText"/>
      </w:pPr>
      <w:r>
        <w:t xml:space="preserve">CSV-файл удобно использовать, когда события информационной безопасности нужно передавать во внешнюю систему мониторинга, хранить отдельно от базы ИРБИС 128 или регулярно архивировать средствами операционной системы.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IS/Help/Configur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IS/Help/Configur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доступа</dc:title>
  <dc:creator/>
  <cp:keywords/>
  <dcterms:created xsi:type="dcterms:W3CDTF">2026-09-06T19:11:20Z</dcterms:created>
  <dcterms:modified xsi:type="dcterms:W3CDTF">2026-09-06T19:11:20Z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