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[I128-1618] Возможность прозрачной авторизации в ИРБИС 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80d5e4c7874e0cf618d76cbdfd9f2412ce6d08"/>
    <w:p>
      <w:pPr>
        <w:pStyle w:val="Heading1"/>
      </w:pPr>
      <w:r>
        <w:t xml:space="preserve">[I128-1618] Возможность прозрачной авторизации в ИРБИС 128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Authorisation - Авторизация пользователей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18.04.2025 14:44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27"/>
    <w:p>
      <w:pPr>
        <w:pStyle w:val="Heading3"/>
      </w:pPr>
      <w:r>
        <w:t xml:space="preserve">1.1. 🔗 Соответствует задача: I128-1627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[I128-1627]</w:t>
        </w:r>
      </w:hyperlink>
      <w:r>
        <w:t xml:space="preserve"> </w:t>
      </w:r>
      <w:r>
        <w:t xml:space="preserve">Возможность прозрачной авторизации в ИРБИС 128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2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2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[I128-1618] Возможность прозрачной авторизации в ИРБИС 128</dc:title>
  <dc:creator/>
  <cp:keywords/>
  <dcterms:created xsi:type="dcterms:W3CDTF">2026-09-05T09:25:22Z</dcterms:created>
  <dcterms:modified xsi:type="dcterms:W3CDTF">2026-09-05T09:25:22Z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