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[I128-1367] Импорт mhrkv.mnu в матрицу мест выдачи и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d9d803213260a2a754eeff97015a04c879a"/>
    <w:p>
      <w:pPr>
        <w:pStyle w:val="Heading1"/>
      </w:pPr>
      <w:r>
        <w:t xml:space="preserve">[I128-1367] Импорт mhrkv.mnu в матрицу мест выдачи и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раздел про матрицу доступности мест выдачи и хранения описывает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импорта разрешенных мест выдачи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 </w:t>
      </w:r>
      <w:r>
        <w:t xml:space="preserve">в матрицу мест хранения. Документация поясняет, что страница</w:t>
      </w:r>
      <w:r>
        <w:t xml:space="preserve"> </w:t>
      </w:r>
      <w:r>
        <w:rPr>
          <w:rStyle w:val="VerbatimChar"/>
        </w:rPr>
        <w:t xml:space="preserve">Bookland/EditMkvMhrMatrix</w:t>
      </w:r>
      <w:r>
        <w:t xml:space="preserve"> </w:t>
      </w:r>
      <w:r>
        <w:t xml:space="preserve">открывается из профиля по ссылке «Настроить разрешенные места выдачи для мест хранения», кнопка «Импортировать данные из mhrkv.mnu» переносит пары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208^A</w:t>
      </w:r>
      <w:r>
        <w:t xml:space="preserve"> </w:t>
      </w:r>
      <w:r>
        <w:t xml:space="preserve">хранит место выдачи,</w:t>
      </w:r>
      <w:r>
        <w:t xml:space="preserve"> </w:t>
      </w:r>
      <w:r>
        <w:rPr>
          <w:rStyle w:val="VerbatimChar"/>
        </w:rPr>
        <w:t xml:space="preserve">208^B</w:t>
      </w:r>
      <w:r>
        <w:t xml:space="preserve"> </w:t>
      </w:r>
      <w:r>
        <w:t xml:space="preserve">- место хранения, а</w:t>
      </w:r>
      <w:r>
        <w:t xml:space="preserve"> </w:t>
      </w:r>
      <w:r>
        <w:rPr>
          <w:rStyle w:val="VerbatimChar"/>
        </w:rPr>
        <w:t xml:space="preserve">208^C</w:t>
      </w:r>
      <w:r>
        <w:t xml:space="preserve"> </w:t>
      </w:r>
      <w:r>
        <w:t xml:space="preserve">получает значение правила</w:t>
      </w:r>
      <w:r>
        <w:t xml:space="preserve"> </w:t>
      </w:r>
      <w:r>
        <w:rPr>
          <w:rStyle w:val="VerbatimChar"/>
        </w:rPr>
        <w:t xml:space="preserve">100</w:t>
      </w:r>
      <w:r>
        <w:t xml:space="preserve">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66"/>
    <w:p>
      <w:pPr>
        <w:pStyle w:val="Heading3"/>
      </w:pPr>
      <w:r>
        <w:t xml:space="preserve">1.1. 🔗 Соответствует задача: I128-1366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[I128-1366]</w:t>
        </w:r>
      </w:hyperlink>
      <w:r>
        <w:t xml:space="preserve"> </w:t>
      </w:r>
      <w:r>
        <w:t xml:space="preserve">Возможность импортировать mhrkv.mnu в таблицу разрешенных мест выдачи для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[I128-1367] Импорт mhrkv.mnu в матрицу мест выдачи и хранения</dc:title>
  <dc:creator/>
  <cp:keywords/>
  <dcterms:created xsi:type="dcterms:W3CDTF">2026-09-10T06:16:23Z</dcterms:created>
  <dcterms:modified xsi:type="dcterms:W3CDTF">2026-09-10T06:16:23Z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