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[I128-1258] Признаки иностранных агентов в библиографических и авторитетных записях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8e67560dc9f3f72f9f772e8914d9ea296b6d75"/>
    <w:p>
      <w:pPr>
        <w:pStyle w:val="Heading1"/>
      </w:pPr>
      <w:r>
        <w:t xml:space="preserve">[I128-1258] Признаки иностранных агентов в библиографических и авторитетных записях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Cataloguer/CataloguerGuide/BibliographicRecords/CommonFields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Cataloguer/CataloguerGuide/BibliographicRecords/AuthorityDatabases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методику ввода библиографических записей добавлено описание признаков материалов иностранных агентов: локальные подполя поля</w:t>
      </w:r>
      <w:r>
        <w:t xml:space="preserve"> </w:t>
      </w:r>
      <w:r>
        <w:rPr>
          <w:rStyle w:val="VerbatimChar"/>
        </w:rPr>
        <w:t xml:space="preserve">900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для особенностей распространения и использования, а также согласование этих сведений с авторитетной записью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описаны структурированный признак иностранного агента через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дата объявления статуса и дополнительное пояснение через 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7"/>
    <w:p>
      <w:pPr>
        <w:pStyle w:val="Heading3"/>
      </w:pPr>
      <w:r>
        <w:t xml:space="preserve">1.1. 🔗 Соответствует задача: I128-1257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[I128-1257]</w:t>
        </w:r>
      </w:hyperlink>
      <w:r>
        <w:t xml:space="preserve"> </w:t>
      </w:r>
      <w:r>
        <w:t xml:space="preserve">Поддержка 255-ФЗ «О контроле за деятельностью лиц, находящихся под иностранным влиянием», регулирующий статус иноагентов.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[I128-1258] Признаки иностранных агентов в библиографических и авторитетных записях</dc:title>
  <dc:creator/>
  <cp:keywords/>
  <dcterms:created xsi:type="dcterms:W3CDTF">2026-09-08T23:59:18Z</dcterms:created>
  <dcterms:modified xsi:type="dcterms:W3CDTF">2026-09-08T23:59:18Z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