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Литералы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литералы"/>
    <w:p>
      <w:pPr>
        <w:pStyle w:val="Heading1"/>
      </w:pPr>
      <w:r>
        <w:t xml:space="preserve">Литералы</w:t>
      </w:r>
    </w:p>
    <w:p>
      <w:pPr>
        <w:pStyle w:val="FirstParagraph"/>
      </w:pPr>
      <w:r>
        <w:t xml:space="preserve">Литерал - это строка символов, заключенная в соответствующие ограничители, которая вносится в выводимый текст в таком виде, как она приведена в формате. Литералы могут использоваться, например, для именования полей.</w:t>
      </w:r>
    </w:p>
    <w:p>
      <w:pPr>
        <w:pStyle w:val="BodyText"/>
      </w:pPr>
      <w:r>
        <w:t xml:space="preserve">Существуют литералы трех типов: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Условный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поля/подполя. Если поле является повторяющимся, то текст будет выведен только один раз, независимо от количества экземпляров поля/подполя. Условные литералы заключаются в двойные кавычки (“), например,</w:t>
      </w:r>
    </w:p>
    <w:p>
      <w:pPr>
        <w:pStyle w:val="SourceCode"/>
      </w:pPr>
      <w:r>
        <w:rPr>
          <w:rStyle w:val="VerbatimChar"/>
        </w:rPr>
        <w:t xml:space="preserve">"Заглавие: "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Повторяющийся литерал.</w:t>
      </w:r>
      <w:r>
        <w:t xml:space="preserve"> </w:t>
      </w:r>
      <w:r>
        <w:t xml:space="preserve">Он определяет текст, который будет выведен только в случае присутствия в записи соответствующего ему поля или подполя. Однако, если поле повторяющееся, литерал будет выводиться для каждого экземпляра поля/подполя. Повторяющиеся литералы заключаются в вертикальные черты (|), например,</w:t>
      </w:r>
    </w:p>
    <w:p>
      <w:pPr>
        <w:pStyle w:val="SourceCode"/>
      </w:pPr>
      <w:r>
        <w:rPr>
          <w:rStyle w:val="VerbatimChar"/>
        </w:rPr>
        <w:t xml:space="preserve">|Автор: |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Безусловный литерал.</w:t>
      </w:r>
      <w:r>
        <w:t xml:space="preserve"> </w:t>
      </w:r>
      <w:r>
        <w:t xml:space="preserve">Он определяет текст, который будет выведен независимо от наличия поля в записи. Безусловные литералы заключаются в одинарные кавычки (’), например:</w:t>
      </w:r>
    </w:p>
    <w:p>
      <w:pPr>
        <w:pStyle w:val="SourceCode"/>
      </w:pPr>
      <w:r>
        <w:rPr>
          <w:rStyle w:val="VerbatimChar"/>
        </w:rPr>
        <w:t xml:space="preserve">'Краткое содержание'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'Заголовок'</w:t>
      </w:r>
    </w:p>
    <w:p>
      <w:pPr>
        <w:pStyle w:val="FirstParagraph"/>
      </w:pPr>
      <w:r>
        <w:t xml:space="preserve">Литерал не должен содержать ограничителей литерала. Например, безусловный литерал не может содержать одинарную кавычку (хотя может содержать двойные кавычки и/или вертикальные черты).</w:t>
      </w:r>
    </w:p>
    <w:p>
      <w:pPr>
        <w:pStyle w:val="BodyText"/>
      </w:pPr>
      <w:r>
        <w:t xml:space="preserve">Условные и/или повторяющиеся литералы связываются с полем или подполем своим расположением в формате. Литералы, предшествующие команде вывода поля/подполя, называемые префикс-литералами, выводятся перед содержимым поля/подполя, в то время, как литералы, следующие за командой вывода поля/подполя, называемые суффикс-литералами, выводятся после содержимого поля/подполя.</w:t>
      </w:r>
    </w:p>
    <w:p>
      <w:pPr>
        <w:pStyle w:val="BodyText"/>
      </w:pPr>
      <w:r>
        <w:t xml:space="preserve">Если за повторяющимся префикс-литералом непосредственно следует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|xxx|+), то он будет выведен перед каждым, кроме первого, экземпляром поля/подполя.</w:t>
      </w:r>
    </w:p>
    <w:p>
      <w:pPr>
        <w:pStyle w:val="BodyText"/>
      </w:pPr>
      <w:r>
        <w:t xml:space="preserve">Если повторяющемуся суффикс-литералу непосредственно предшествует знак</w:t>
      </w:r>
      <w:r>
        <w:t xml:space="preserve"> </w:t>
      </w:r>
      <w:r>
        <w:t xml:space="preserve">‘+’</w:t>
      </w:r>
      <w:r>
        <w:t xml:space="preserve"> </w:t>
      </w:r>
      <w:r>
        <w:t xml:space="preserve">(например, +|xxx|), то он будет выведен после каждого, кроме последнего, экземпляра поля/подполя.</w:t>
      </w:r>
    </w:p>
    <w:p>
      <w:pPr>
        <w:pStyle w:val="BodyText"/>
      </w:pPr>
      <w:r>
        <w:t xml:space="preserve">С полем/подполем может быть связан более чем один литерал. В этом случае различные литералы должны подчиняться следующим правилам и порядку: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префикс-литералы:</w:t>
      </w:r>
    </w:p>
    <w:p>
      <w:pPr>
        <w:pStyle w:val="Compact"/>
        <w:numPr>
          <w:ilvl w:val="1"/>
          <w:numId w:val="1004"/>
        </w:numPr>
      </w:pPr>
      <w:r>
        <w:t xml:space="preserve">Один или более условных префикс-литералов. За условным префикс-литералом могут следовать другие условные префикс-литералы, команды вертикального и горизонтального размещения, и/или команды режима вывода. Все команды между первым условным префикс-литералом и соответствующей ему командой вывода поля/подполя становятся условными и будут выполнены только при наличии поля/подполя, иначе они игнорируются.</w:t>
      </w:r>
    </w:p>
    <w:p>
      <w:pPr>
        <w:pStyle w:val="Compact"/>
        <w:numPr>
          <w:ilvl w:val="1"/>
          <w:numId w:val="1004"/>
        </w:numPr>
      </w:pPr>
      <w:r>
        <w:t xml:space="preserve">Один и только один повторяющийся префикс-литерал. Если такой литерал есть, то он должен непосредственно предшествовать соответствующей ему команде вывода поля/подполя.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суффикс-литералы: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повторяющийся суффикс-литерал. Если такой литерал есть, то он должен следовать непосредственно за соответствующей ему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Один и только один условный суффикс-литерал. Если такой лите-рал есть, то он должен следовать непосредственно за повторяющимся суффикс-литералом или связанной с ним командой вывода поля/подполя.</w:t>
      </w:r>
    </w:p>
    <w:p>
      <w:pPr>
        <w:pStyle w:val="Compact"/>
        <w:numPr>
          <w:ilvl w:val="1"/>
          <w:numId w:val="1005"/>
        </w:numPr>
      </w:pPr>
      <w:r>
        <w:t xml:space="preserve">Суффикс-литералы не должны разделяться запятыми и не должно быть запятой между командами вывода поля/подполя и первым суффикс-литералом, так как запятая обозначает конец суффикс-литералов, связанных с данной командой вывода поля/подполя.</w:t>
      </w:r>
    </w:p>
    <w:p>
      <w:pPr>
        <w:pStyle w:val="FirstParagraph"/>
      </w:pPr>
      <w:r>
        <w:rPr>
          <w:b/>
          <w:bCs/>
        </w:rPr>
        <w:t xml:space="preserve">Пустые литералы</w:t>
      </w:r>
      <w:r>
        <w:t xml:space="preserve">: (т. е. литералы нулевой длины, такие, например, как “” или ||) вполне допустимы и могут использоваться, например, как префикс-литералы для обеспечения условного вертикального размещения или как суффикс-литералы для временного подавления автоматической пунктуации, которая обеспечивается в режиме данных.</w:t>
      </w:r>
    </w:p>
    <w:p>
      <w:pPr>
        <w:pStyle w:val="BodyText"/>
      </w:pPr>
      <w:r>
        <w:t xml:space="preserve">Литералы подвергаются преобразованию в прописные буквы, если расположены после соответствующей команды режима вывода.</w:t>
      </w:r>
      <w:r>
        <w:t xml:space="preserve"> </w:t>
      </w:r>
      <w:r>
        <w:t xml:space="preserve">Примеры различных типов литералов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230"/>
        <w:gridCol w:w="468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‘MFN:’</w:t>
            </w:r>
            <w:r>
              <w:t xml:space="preserve">,mfn(3)</w:t>
            </w:r>
          </w:p>
        </w:tc>
        <w:tc>
          <w:tcPr/>
          <w:p>
            <w:pPr>
              <w:pStyle w:val="Compact"/>
            </w:pPr>
            <w:r>
              <w:t xml:space="preserve">MFN: 034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</w:t>
            </w:r>
            <w:r>
              <w:t xml:space="preserve">“Заглавие:”</w:t>
            </w:r>
            <w:r>
              <w:t xml:space="preserve">v200</w:t>
            </w:r>
          </w:p>
        </w:tc>
        <w:tc>
          <w:tcPr/>
          <w:p>
            <w:pPr>
              <w:pStyle w:val="Compact"/>
            </w:pPr>
            <w:r>
              <w:t xml:space="preserve">Заглавие: 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П.О.;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v675+|; |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|v675</w:t>
            </w:r>
          </w:p>
        </w:tc>
        <w:tc>
          <w:tcPr/>
          <w:p>
            <w:pPr>
              <w:pStyle w:val="Compact"/>
            </w:pPr>
            <w:r>
              <w:t xml:space="preserve">; 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|; |+v675</w:t>
            </w:r>
          </w:p>
        </w:tc>
        <w:tc>
          <w:tcPr/>
          <w:p>
            <w:pPr>
              <w:pStyle w:val="Compact"/>
            </w:pP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“УДК”</w:t>
            </w:r>
            <w:r>
              <w:t xml:space="preserve">/v675+|; |</w:t>
            </w:r>
          </w:p>
        </w:tc>
        <w:tc>
          <w:tcPr/>
          <w:p>
            <w:pPr>
              <w:pStyle w:val="Compact"/>
            </w:pPr>
            <w:r>
              <w:t xml:space="preserve">УДК</w:t>
            </w:r>
            <w:r>
              <w:t xml:space="preserve">623.746; 623.746(092) Сухой П.О.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|(|v675|)|</w:t>
            </w:r>
          </w:p>
        </w:tc>
        <w:tc>
          <w:tcPr/>
          <w:p>
            <w:pPr>
              <w:pStyle w:val="Compact"/>
            </w:pPr>
            <w:r>
              <w:t xml:space="preserve">(623.746)(623.746(092)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“(УДК:”</w:t>
            </w:r>
            <w:r>
              <w:t xml:space="preserve">,v675+|; |</w:t>
            </w:r>
            <w:r>
              <w:t xml:space="preserve">“)”</w:t>
            </w:r>
          </w:p>
        </w:tc>
        <w:tc>
          <w:tcPr/>
          <w:p>
            <w:pPr>
              <w:pStyle w:val="Compact"/>
            </w:pPr>
            <w:r>
              <w:t xml:space="preserve">(УДК: 623.746; 623.746(092) Сухой П.О.)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mdl,v210””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Литералы</dc:title>
  <dc:creator/>
  <cp:keywords/>
  <dcterms:created xsi:type="dcterms:W3CDTF">2026-09-09T11:04:26Z</dcterms:created>
  <dcterms:modified xsi:type="dcterms:W3CDTF">2026-09-09T11:04:26Z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