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[I128-2027]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e8ca5c7a05a3ff1389b47a16c0cd85069b94f28"/>
    <w:p>
      <w:pPr>
        <w:pStyle w:val="Heading1"/>
      </w:pPr>
      <w:r>
        <w:t xml:space="preserve">[I128-2027]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14:03</w:t>
      </w:r>
    </w:p>
    <w:p>
      <w:pPr>
        <w:pStyle w:val="BodyText"/>
      </w:pPr>
      <w:r>
        <w:t xml:space="preserve">Расширение механизма состоит в том, что с помощью формата переноса можно сформировать данные, которые будут переноситься (вводиться) не только в текущее поле/подполе, а также и в ДРУГИЕ поля.</w:t>
      </w:r>
    </w:p>
    <w:p>
      <w:pPr>
        <w:pStyle w:val="BodyText"/>
      </w:pPr>
      <w:r>
        <w:t xml:space="preserve">В общем случае переносимые данные (т.е. данные полученные после форматирования по формату переноса) представляют собой набор строк.</w:t>
      </w:r>
    </w:p>
    <w:p>
      <w:pPr>
        <w:pStyle w:val="BodyText"/>
      </w:pPr>
      <w:r>
        <w:t xml:space="preserve">Данные, предназначенные для переноса в другие поля, должны находиться в конце строк и иметь следующую структуру: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%met1#data1%met2#data2…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где met1, met2 - метки полей, а data1, data2 - соответствующие данные.</w:t>
      </w:r>
    </w:p>
    <w:p>
      <w:pPr>
        <w:pStyle w:val="BodyText"/>
      </w:pPr>
      <w:r>
        <w:t xml:space="preserve">(разумеется, предполагается, что символ % не может содержаться в данных)</w:t>
      </w:r>
    </w:p>
    <w:p>
      <w:pPr>
        <w:pStyle w:val="BodyText"/>
      </w:pPr>
      <w:r>
        <w:t xml:space="preserve">Данные для ввода в ДРУГИЕ поля вводятся в документ НЕ автоматически, а только после подтверждения со стороны пользователя с помощью специального интерфейса (см. скриншот ниже).</w:t>
      </w:r>
    </w:p>
    <w:p>
      <w:pPr>
        <w:pStyle w:val="BodyText"/>
      </w:pPr>
      <w:r>
        <w:t xml:space="preserve">Интерфейс для подтверждения ввода данных в другие поля возникает ПОСЛЕ покидания текущего поля.</w:t>
      </w:r>
    </w:p>
    <w:p>
      <w:pPr>
        <w:pStyle w:val="BodyText"/>
      </w:pPr>
      <w:r>
        <w:t xml:space="preserve">Данный интерфейс позволяет:</w:t>
      </w:r>
    </w:p>
    <w:p>
      <w:pPr>
        <w:numPr>
          <w:ilvl w:val="0"/>
          <w:numId w:val="1001"/>
        </w:numPr>
      </w:pPr>
      <w:r>
        <w:t xml:space="preserve">удалить отмеченные данные;</w:t>
      </w:r>
    </w:p>
    <w:p>
      <w:pPr>
        <w:numPr>
          <w:ilvl w:val="0"/>
          <w:numId w:val="1001"/>
        </w:numPr>
      </w:pPr>
      <w:r>
        <w:t xml:space="preserve">корректировать данные.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Такой же механизм ввода данных в другие поля реализован и для метода ввода 19, который используется для навигации по БД классификаторов: УДК, ББК, ГРНТИ.</w:t>
      </w:r>
    </w:p>
    <w:p>
      <w:pPr>
        <w:pStyle w:val="BodyText"/>
      </w:pPr>
      <w:r>
        <w:t xml:space="preserve">По умолчанию (т.е. в дистрибутивном варианте системы) при вводе индексов УДК, ББК, ГРНТИ реализован механизм формирования списка ключевых слов, извлеченных из названия соответствующих классификационных рубрик, которые предполагается вводить в поле НЕНОРМИРОВАННЫЕ КЛЮЧЕВЫЕ СЛОВА (метка поля 610) – при этом слова нормализуются (см.скриншоты. ниже)</w:t>
      </w:r>
    </w:p>
    <w:p>
      <w:pPr>
        <w:pStyle w:val="CaptionedFigure"/>
      </w:pPr>
      <w:r>
        <w:drawing>
          <wp:inline>
            <wp:extent cx="5334000" cy="2984561"/>
            <wp:effectExtent b="0" l="0" r="0" t="0"/>
            <wp:docPr descr="Рисунок 1 - image-2026-01-15-14-43-57-377.png" title="image-2026-01-15-14-43-57-377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27/attachments/image_2026_01_15_14_43_57_37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4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image-2026-01-15-14-43-57-377.png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3237577"/>
            <wp:effectExtent b="0" l="0" r="0" t="0"/>
            <wp:docPr descr="Рисунок 2 - image-2026-01-15-14-44-05-267.png" title="image-2026-01-15-14-44-05-267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27/attachments/image_2026_01_15_14_44_05_267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7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image-2026-01-15-14-44-05-267.png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045"/>
    <w:p>
      <w:pPr>
        <w:pStyle w:val="Heading3"/>
      </w:pPr>
      <w:r>
        <w:t xml:space="preserve">1.1. 🔗 Соответствует задача: I128-2045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[I128-2045]</w:t>
        </w:r>
      </w:hyperlink>
      <w:r>
        <w:t xml:space="preserve"> </w:t>
      </w:r>
      <w:r>
        <w:t xml:space="preserve">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?id=Help/Show&amp;m=Help/GeneralDescription/WhatsNew/I128/TaskInfo/I128-204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04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[I128-2027] Расширен механизм ввода данных при использовании СЛОВАРЯ (метод ввода 2) - в тех случаях, когда для ввода используется формат переноса данных</dc:title>
  <dc:creator/>
  <cp:keywords/>
  <dcterms:created xsi:type="dcterms:W3CDTF">2026-09-08T23:43:18Z</dcterms:created>
  <dcterms:modified xsi:type="dcterms:W3CDTF">2026-09-08T23:43:18Z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