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Провайдер данных к серверу приложений ИРБИС 128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3" w:name="Xdce74bf4df75d6132afbc111973fb6656b6353e"/>
    <w:p>
      <w:pPr>
        <w:pStyle w:val="Heading1"/>
      </w:pPr>
      <w:r>
        <w:t xml:space="preserve">Провайдер данных к серверу приложений ИРБИС 128</w:t>
      </w:r>
    </w:p>
    <w:p>
      <w:pPr>
        <w:pStyle w:val="FirstParagraph"/>
      </w:pPr>
      <w:r>
        <w:t xml:space="preserve">Модуль</w:t>
      </w:r>
      <w:r>
        <w:t xml:space="preserve"> </w:t>
      </w:r>
      <w:r>
        <w:rPr>
          <w:rStyle w:val="VerbatimChar"/>
        </w:rPr>
        <w:t xml:space="preserve">DP_i128</w:t>
      </w:r>
      <w:r>
        <w:t xml:space="preserve"> </w:t>
      </w:r>
      <w:r>
        <w:t xml:space="preserve">реализует провайдер данных для подключения к другому серверу</w:t>
      </w:r>
      <w:r>
        <w:t xml:space="preserve"> </w:t>
      </w:r>
      <w:r>
        <w:t xml:space="preserve">приложений ИРБИС 128. Он используется подсистемой</w:t>
      </w:r>
      <w:r>
        <w:t xml:space="preserve"> </w:t>
      </w:r>
      <w:r>
        <w:rPr>
          <w:rStyle w:val="VerbatimChar"/>
        </w:rPr>
        <w:t xml:space="preserve">Database</w:t>
      </w:r>
      <w:r>
        <w:t xml:space="preserve">, когда база должна</w:t>
      </w:r>
      <w:r>
        <w:t xml:space="preserve"> </w:t>
      </w:r>
      <w:r>
        <w:t xml:space="preserve">получать записи, словари, файлы и результаты форматирования через удаленный</w:t>
      </w:r>
      <w:r>
        <w:t xml:space="preserve"> </w:t>
      </w:r>
      <w:r>
        <w:t xml:space="preserve">HTTP-интерфейс ИРБИС 128.</w:t>
      </w:r>
    </w:p>
    <w:bookmarkStart w:id="12" w:name="назначение"/>
    <w:p>
      <w:pPr>
        <w:pStyle w:val="Heading2"/>
      </w:pPr>
      <w:r>
        <w:t xml:space="preserve">Назначение</w:t>
      </w:r>
    </w:p>
    <w:p>
      <w:pPr>
        <w:pStyle w:val="FirstParagraph"/>
      </w:pPr>
      <w:r>
        <w:rPr>
          <w:rStyle w:val="VerbatimChar"/>
        </w:rPr>
        <w:t xml:space="preserve">DP_i128</w:t>
      </w:r>
      <w:r>
        <w:t xml:space="preserve"> </w:t>
      </w:r>
      <w:r>
        <w:t xml:space="preserve">- объектный модуль-провайдер данных. Он приводит стандартные операции</w:t>
      </w:r>
      <w:r>
        <w:t xml:space="preserve"> </w:t>
      </w:r>
      <w:r>
        <w:t xml:space="preserve">слоя</w:t>
      </w:r>
      <w:r>
        <w:t xml:space="preserve"> </w:t>
      </w:r>
      <w:r>
        <w:rPr>
          <w:rStyle w:val="VerbatimChar"/>
        </w:rPr>
        <w:t xml:space="preserve">Database</w:t>
      </w:r>
      <w:r>
        <w:t xml:space="preserve"> </w:t>
      </w:r>
      <w:r>
        <w:t xml:space="preserve">к HTTP-запросам удаленного сервера приложений ИРБИС 128 и</w:t>
      </w:r>
      <w:r>
        <w:t xml:space="preserve"> </w:t>
      </w:r>
      <w:r>
        <w:t xml:space="preserve">возвращает результат в формате, ожидаемом локальной системой.</w:t>
      </w:r>
    </w:p>
    <w:bookmarkStart w:id="9" w:name="основные-сценарии"/>
    <w:p>
      <w:pPr>
        <w:pStyle w:val="Heading3"/>
      </w:pPr>
      <w:r>
        <w:t xml:space="preserve">1. Основные сценарии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Сценарий</w:t>
            </w:r>
          </w:p>
        </w:tc>
        <w:tc>
          <w:tcPr/>
          <w:p>
            <w:pPr>
              <w:pStyle w:val="Compact"/>
            </w:pPr>
            <w:r>
              <w:t xml:space="preserve">Компоненты</w:t>
            </w:r>
          </w:p>
        </w:tc>
      </w:tr>
      <w:tr>
        <w:tc>
          <w:tcPr/>
          <w:p>
            <w:pPr>
              <w:pStyle w:val="Compact"/>
            </w:pPr>
            <w:r>
              <w:t xml:space="preserve">Инициализация провайдера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InitProvider</w:t>
            </w:r>
            <w:r>
              <w:t xml:space="preserve">, параметры секции</w:t>
            </w:r>
            <w:r>
              <w:t xml:space="preserve"> </w:t>
            </w:r>
            <w:r>
              <w:rPr>
                <w:rStyle w:val="VerbatimChar"/>
              </w:rPr>
              <w:t xml:space="preserve">PROVIDER</w:t>
            </w:r>
            <w:r>
              <w:t xml:space="preserve"> </w:t>
            </w:r>
            <w:r>
              <w:t xml:space="preserve">из INI базы.</w:t>
            </w:r>
          </w:p>
        </w:tc>
      </w:tr>
      <w:tr>
        <w:tc>
          <w:tcPr/>
          <w:p>
            <w:pPr>
              <w:pStyle w:val="Compact"/>
            </w:pPr>
            <w:r>
              <w:t xml:space="preserve">Подключение и отключение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Connect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Disconnect</w:t>
            </w:r>
            <w:r>
              <w:t xml:space="preserve">, состояние</w:t>
            </w:r>
            <w:r>
              <w:t xml:space="preserve"> </w:t>
            </w:r>
            <w:r>
              <w:rPr>
                <w:rStyle w:val="VerbatimChar"/>
              </w:rPr>
              <w:t xml:space="preserve">IsConnected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t xml:space="preserve">Выполнение удаленного запроса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ExecRqst</w:t>
            </w:r>
            <w:r>
              <w:t xml:space="preserve">, HTTP POST к удаленному серверу.</w:t>
            </w:r>
          </w:p>
        </w:tc>
      </w:tr>
      <w:tr>
        <w:tc>
          <w:tcPr/>
          <w:p>
            <w:pPr>
              <w:pStyle w:val="Compact"/>
            </w:pPr>
            <w:r>
              <w:t xml:space="preserve">Проверка версии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GetVersion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t xml:space="preserve">Поиск и чтение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Search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RecSearch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RecRead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RecReadAndFormat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t xml:space="preserve">Словарь терминов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GetTermList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t xml:space="preserve">Форматирование виртуальной записи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RecVirtualFormat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t xml:space="preserve">Запись и удаление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RecWrite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DeleteRec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RecIfUpdate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t xml:space="preserve">Работа с файлами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GetFile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SetFile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WriteToIni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t xml:space="preserve">Делегирование владельцу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CallOwnerFunction</w:t>
            </w:r>
            <w:r>
              <w:t xml:space="preserve"> </w:t>
            </w:r>
            <w:r>
              <w:t xml:space="preserve">для операций, которые выполняет родительский объект базы.</w:t>
            </w:r>
          </w:p>
        </w:tc>
      </w:tr>
    </w:tbl>
    <w:bookmarkEnd w:id="9"/>
    <w:bookmarkStart w:id="10" w:name="параметры-провайдера"/>
    <w:p>
      <w:pPr>
        <w:pStyle w:val="Heading3"/>
      </w:pPr>
      <w:r>
        <w:t xml:space="preserve">2. Параметры провайдера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PROVIDER.HOST</w:t>
            </w:r>
          </w:p>
        </w:tc>
        <w:tc>
          <w:tcPr/>
          <w:p>
            <w:pPr>
              <w:pStyle w:val="Compact"/>
            </w:pPr>
            <w:r>
              <w:t xml:space="preserve">Адрес удаленного сервера приложений; по умолчанию берется из</w:t>
            </w:r>
            <w:r>
              <w:t xml:space="preserve"> </w:t>
            </w:r>
            <w:r>
              <w:rPr>
                <w:rStyle w:val="VerbatimChar"/>
              </w:rPr>
              <w:t xml:space="preserve">i128SelfHost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PROVIDER.PORT</w:t>
            </w:r>
          </w:p>
        </w:tc>
        <w:tc>
          <w:tcPr/>
          <w:p>
            <w:pPr>
              <w:pStyle w:val="Compact"/>
            </w:pPr>
            <w:r>
              <w:t xml:space="preserve">Порт удаленного сервера; по умолчанию берется из</w:t>
            </w:r>
            <w:r>
              <w:t xml:space="preserve"> </w:t>
            </w:r>
            <w:r>
              <w:rPr>
                <w:rStyle w:val="VerbatimChar"/>
              </w:rPr>
              <w:t xml:space="preserve">i128SelfPort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PROVIDER.LOGIN</w:t>
            </w:r>
          </w:p>
        </w:tc>
        <w:tc>
          <w:tcPr/>
          <w:p>
            <w:pPr>
              <w:pStyle w:val="Compact"/>
            </w:pPr>
            <w:r>
              <w:t xml:space="preserve">Логин для удаленного сервера, если требуется.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PROVIDER.PW</w:t>
            </w:r>
          </w:p>
        </w:tc>
        <w:tc>
          <w:tcPr/>
          <w:p>
            <w:pPr>
              <w:pStyle w:val="Compact"/>
            </w:pPr>
            <w:r>
              <w:t xml:space="preserve">Пароль для удаленного сервера, если требуется.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PROVIDER.TIMEOUT</w:t>
            </w:r>
          </w:p>
        </w:tc>
        <w:tc>
          <w:tcPr/>
          <w:p>
            <w:pPr>
              <w:pStyle w:val="Compact"/>
            </w:pPr>
            <w:r>
              <w:t xml:space="preserve">Таймаут HTTP-запросов.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PROVIDER.PROXY</w:t>
            </w:r>
          </w:p>
        </w:tc>
        <w:tc>
          <w:tcPr/>
          <w:p>
            <w:pPr>
              <w:pStyle w:val="Compact"/>
            </w:pPr>
            <w:r>
              <w:t xml:space="preserve">Прокси-сервер для исходящих HTTP-запросов.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PROVIDER.PROXYUSER</w:t>
            </w:r>
          </w:p>
        </w:tc>
        <w:tc>
          <w:tcPr/>
          <w:p>
            <w:pPr>
              <w:pStyle w:val="Compact"/>
            </w:pPr>
            <w:r>
              <w:t xml:space="preserve">Пользователь прокси.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PROVIDER.PROXYPASSWORD</w:t>
            </w:r>
          </w:p>
        </w:tc>
        <w:tc>
          <w:tcPr/>
          <w:p>
            <w:pPr>
              <w:pStyle w:val="Compact"/>
            </w:pPr>
            <w:r>
              <w:t xml:space="preserve">Пароль прокси.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PROVIDER.SRCPREFIX</w:t>
            </w:r>
          </w:p>
        </w:tc>
        <w:tc>
          <w:tcPr/>
          <w:p>
            <w:pPr>
              <w:pStyle w:val="Compact"/>
            </w:pPr>
            <w:r>
              <w:t xml:space="preserve">Префикс поискового выражения.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PROVIDER.SRCPOSTFIX</w:t>
            </w:r>
          </w:p>
        </w:tc>
        <w:tc>
          <w:tcPr/>
          <w:p>
            <w:pPr>
              <w:pStyle w:val="Compact"/>
            </w:pPr>
            <w:r>
              <w:t xml:space="preserve">Постфикс поискового выражения.</w:t>
            </w:r>
          </w:p>
        </w:tc>
      </w:tr>
    </w:tbl>
    <w:bookmarkEnd w:id="10"/>
    <w:bookmarkStart w:id="11" w:name="особенности-сопровождения"/>
    <w:p>
      <w:pPr>
        <w:pStyle w:val="Heading3"/>
      </w:pPr>
      <w:r>
        <w:t xml:space="preserve">3. Особенности сопровождения</w:t>
      </w:r>
    </w:p>
    <w:p>
      <w:pPr>
        <w:pStyle w:val="FirstParagraph"/>
      </w:pPr>
      <w:r>
        <w:t xml:space="preserve">Модуль зависит от доступности удаленного сервера приложений. Документационные</w:t>
      </w:r>
      <w:r>
        <w:t xml:space="preserve"> </w:t>
      </w:r>
      <w:r>
        <w:t xml:space="preserve">проверки не должны выполнять реальные операции</w:t>
      </w:r>
      <w:r>
        <w:t xml:space="preserve"> </w:t>
      </w:r>
      <w:r>
        <w:rPr>
          <w:rStyle w:val="VerbatimChar"/>
        </w:rPr>
        <w:t xml:space="preserve">Search</w:t>
      </w:r>
      <w:r>
        <w:t xml:space="preserve">,</w:t>
      </w:r>
      <w:r>
        <w:t xml:space="preserve"> </w:t>
      </w:r>
      <w:r>
        <w:rPr>
          <w:rStyle w:val="VerbatimChar"/>
        </w:rPr>
        <w:t xml:space="preserve">RecRead</w:t>
      </w:r>
      <w:r>
        <w:t xml:space="preserve">,</w:t>
      </w:r>
      <w:r>
        <w:t xml:space="preserve"> </w:t>
      </w:r>
      <w:r>
        <w:rPr>
          <w:rStyle w:val="VerbatimChar"/>
        </w:rPr>
        <w:t xml:space="preserve">RecWrite</w:t>
      </w:r>
      <w:r>
        <w:t xml:space="preserve">,</w:t>
      </w:r>
      <w:r>
        <w:t xml:space="preserve"> </w:t>
      </w:r>
      <w:r>
        <w:rPr>
          <w:rStyle w:val="VerbatimChar"/>
        </w:rPr>
        <w:t xml:space="preserve">DeleteRec</w:t>
      </w:r>
      <w:r>
        <w:t xml:space="preserve"> </w:t>
      </w:r>
      <w:r>
        <w:t xml:space="preserve">или</w:t>
      </w:r>
      <w:r>
        <w:t xml:space="preserve"> </w:t>
      </w:r>
      <w:r>
        <w:rPr>
          <w:rStyle w:val="VerbatimChar"/>
        </w:rPr>
        <w:t xml:space="preserve">GetFile</w:t>
      </w:r>
      <w:r>
        <w:t xml:space="preserve">; для Help-gate достаточно проверки</w:t>
      </w:r>
      <w:r>
        <w:t xml:space="preserve"> </w:t>
      </w:r>
      <w:r>
        <w:t xml:space="preserve">синтаксиса PHP, HTML/DOCX-выгрузки</w:t>
      </w:r>
      <w:r>
        <w:t xml:space="preserve"> </w:t>
      </w:r>
      <w:r>
        <w:rPr>
          <w:rStyle w:val="VerbatimChar"/>
        </w:rPr>
        <w:t xml:space="preserve">Help/ModuleRoot&amp;module=DP_i128</w:t>
      </w:r>
      <w:r>
        <w:t xml:space="preserve"> </w:t>
      </w:r>
      <w:r>
        <w:t xml:space="preserve">и</w:t>
      </w:r>
      <w:r>
        <w:t xml:space="preserve"> </w:t>
      </w:r>
      <w:r>
        <w:t xml:space="preserve">отсутствия пропусков Autodoc.</w:t>
      </w:r>
    </w:p>
    <w:bookmarkEnd w:id="11"/>
    <w:bookmarkEnd w:id="12"/>
    <w:bookmarkEnd w:id="13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Провайдер данных к серверу приложений ИРБИС 128</dc:title>
  <dc:creator/>
  <cp:keywords/>
  <dcterms:created xsi:type="dcterms:W3CDTF">2026-09-08T15:28:01Z</dcterms:created>
  <dcterms:modified xsi:type="dcterms:W3CDTF">2026-09-08T15:28:01Z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