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Контроль целостности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нтроль-целостности"/>
    <w:p>
      <w:pPr>
        <w:pStyle w:val="Heading1"/>
      </w:pPr>
      <w:r>
        <w:t xml:space="preserve">Контроль целостности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фиксирует события информационной безопасности и настройки доступа, но не выполняет полный контроль целостности прикладного ПО ИРБИС 64/128 как отдельный пользовательский сценарий. Отдельная страница или действие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для такой проверки в текущем интерфейсе не предусмотрены.</w:t>
      </w:r>
    </w:p>
    <w:p>
      <w:pPr>
        <w:pStyle w:val="BodyText"/>
      </w:pPr>
      <w:r>
        <w:t xml:space="preserve">В системе есть отдельные механизмы контроля и диагностики, которые решают смежные задачи:</w:t>
      </w:r>
    </w:p>
    <w:p>
      <w:pPr>
        <w:pStyle w:val="Compact"/>
        <w:numPr>
          <w:ilvl w:val="0"/>
          <w:numId w:val="1001"/>
        </w:numPr>
      </w:pPr>
      <w:r>
        <w:t xml:space="preserve">установщик выполняет проверки файловой системы при подготовке системы;</w:t>
      </w:r>
    </w:p>
    <w:p>
      <w:pPr>
        <w:pStyle w:val="Compact"/>
        <w:numPr>
          <w:ilvl w:val="0"/>
          <w:numId w:val="1001"/>
        </w:numPr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проверяет целостность связей между объектами электронной библиотеки и библиографическими записями;</w:t>
      </w:r>
    </w:p>
    <w:p>
      <w:pPr>
        <w:pStyle w:val="Compact"/>
        <w:numPr>
          <w:ilvl w:val="0"/>
          <w:numId w:val="1001"/>
        </w:numPr>
      </w:pPr>
      <w:r>
        <w:t xml:space="preserve">рабочие данные и события могут фиксироваться в журналах</w:t>
      </w:r>
      <w:r>
        <w:t xml:space="preserve"> </w:t>
      </w:r>
      <w:r>
        <w:rPr>
          <w:rStyle w:val="VerbatimChar"/>
        </w:rPr>
        <w:t xml:space="preserve">AIS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внешнем syslog и CSV-файле событий;</w:t>
      </w:r>
    </w:p>
    <w:p>
      <w:pPr>
        <w:pStyle w:val="Compact"/>
        <w:numPr>
          <w:ilvl w:val="0"/>
          <w:numId w:val="1001"/>
        </w:numPr>
      </w:pPr>
      <w:r>
        <w:t xml:space="preserve">специализированные проверки выполняются соответствующими модулями и административными регламентами эксплуатации.</w:t>
      </w:r>
    </w:p>
    <w:p>
      <w:pPr>
        <w:pStyle w:val="FirstParagraph"/>
      </w:pPr>
      <w:r>
        <w:t xml:space="preserve">Если организации нужен регламент контроля целостности прикладного ПО, его следует описывать как отдельный административный процесс: какие каталоги и файлы проверяются, как формируются эталонные контрольные суммы, где хранится результат проверки и кто разбирает отклонения.</w:t>
      </w:r>
    </w:p>
    <w:p>
      <w:pPr>
        <w:pStyle w:val="BodyText"/>
      </w:pPr>
      <w:r>
        <w:t xml:space="preserve">Признаки инцидентов, действия ответственных лиц и сроки реакции также относятся к регламенту эксплуатации. Их лучше оформлять отдельным административным регламентом безопасности, а не описанием страницы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 целостности</dc:title>
  <dc:creator/>
  <cp:keywords/>
  <dcterms:created xsi:type="dcterms:W3CDTF">2026-09-09T11:11:36Z</dcterms:created>
  <dcterms:modified xsi:type="dcterms:W3CDTF">2026-09-09T11:11:36Z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