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[I128-2496] ServiceDesk: SID обращения назначается вне Security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6f0ba6c1fbd7562a9d8fe1a61999e8efcd83269"/>
    <w:p>
      <w:pPr>
        <w:pStyle w:val="Heading1"/>
      </w:pPr>
      <w:r>
        <w:t xml:space="preserve">[I128-2496] ServiceDesk: SID обращения назначается вне Security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2026.2.3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ServiceDesk - Модуль поддержки пользователей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27.06.2026 22:23</w:t>
      </w:r>
    </w:p>
    <w:p>
      <w:pPr>
        <w:pStyle w:val="BodyText"/>
      </w:pPr>
      <w:r>
        <w:rPr>
          <w:b/>
          <w:bCs/>
          <w:i/>
          <w:iCs/>
        </w:rPr>
        <w:t xml:space="preserve">Проблема:</w:t>
      </w:r>
    </w:p>
    <w:p>
      <w:pPr>
        <w:pStyle w:val="BodyText"/>
      </w:pPr>
      <w:r>
        <w:t xml:space="preserve">При создании обращения в ServiceDesk SID записи назначается прямым вызовом Record. После выделения границы ответственности Security это оставляет часть сценария создания обращения вне общего механизма контроля служебного поля 113.</w:t>
      </w:r>
    </w:p>
    <w:p>
      <w:pPr>
        <w:pStyle w:val="BodyText"/>
      </w:pPr>
      <w:r>
        <w:rPr>
          <w:b/>
          <w:bCs/>
          <w:i/>
          <w:iCs/>
        </w:rPr>
        <w:t xml:space="preserve">Решение:</w:t>
      </w:r>
    </w:p>
    <w:p>
      <w:pPr>
        <w:pStyle w:val="BodyText"/>
      </w:pPr>
      <w:r>
        <w:t xml:space="preserve">Создание обращения ServiceDesk использует общий механизм Security для физического назначения SID. Для пользователя сценарий остается прежним: обращение создается, текст вопроса сохраняется в файле записи, а недостающий SID назначается автоматически.</w:t>
      </w:r>
    </w:p>
    <w:p>
      <w:pPr>
        <w:pStyle w:val="BodyText"/>
      </w:pPr>
      <w:r>
        <w:rPr>
          <w:b/>
          <w:bCs/>
          <w:i/>
          <w:iCs/>
        </w:rPr>
        <w:t xml:space="preserve">Технические подробности:</w:t>
      </w:r>
    </w:p>
    <w:p>
      <w:pPr>
        <w:pStyle w:val="BodyText"/>
      </w:pPr>
      <w:r>
        <w:t xml:space="preserve">В modules/ServiceDesk/Pages/Ask.page прямой вызов</w:t>
      </w:r>
      <w:r>
        <w:t xml:space="preserve"> </w:t>
      </w:r>
      <m:oMath>
        <m:r>
          <m:t>r</m:t>
        </m:r>
        <m:r>
          <m:t> </m:t>
        </m:r>
        <m:r>
          <m:t> </m:t>
        </m:r>
        <m:r>
          <m:rPr>
            <m:sty m:val="p"/>
          </m:rPr>
          <m:t>&gt;</m:t>
        </m:r>
        <m:r>
          <m:t>E</m:t>
        </m:r>
        <m:r>
          <m:t>n</m:t>
        </m:r>
        <m:r>
          <m:t>s</m:t>
        </m:r>
        <m:r>
          <m:t>u</m:t>
        </m:r>
        <m:r>
          <m:t>r</m:t>
        </m:r>
        <m:r>
          <m:t>e</m:t>
        </m:r>
        <m:r>
          <m:t>S</m:t>
        </m:r>
        <m:r>
          <m:t>i</m:t>
        </m:r>
        <m:r>
          <m:t>d</m:t>
        </m:r>
        <m:r>
          <m:rPr>
            <m:sty m:val="p"/>
          </m:rPr>
          <m:t>(</m:t>
        </m:r>
        <m:r>
          <m:rPr>
            <m:sty m:val="p"/>
          </m:rPr>
          <m:t>)</m:t>
        </m:r>
        <m:r>
          <m:t>з</m:t>
        </m:r>
        <m:r>
          <m:t>а</m:t>
        </m:r>
        <m:r>
          <m:t>м</m:t>
        </m:r>
        <m:r>
          <m:t>е</m:t>
        </m:r>
        <m:r>
          <m:t>н</m:t>
        </m:r>
        <m:r>
          <m:t>я</m:t>
        </m:r>
        <m:r>
          <m:t>е</m:t>
        </m:r>
        <m:r>
          <m:t>т</m:t>
        </m:r>
        <m:r>
          <m:t>с</m:t>
        </m:r>
        <m:r>
          <m:t>я</m:t>
        </m:r>
        <m:r>
          <m:t>н</m:t>
        </m:r>
        <m:r>
          <m:t>а</m:t>
        </m:r>
        <m:r>
          <m:t>U</m:t>
        </m:r>
        <m:r>
          <m:t>s</m:t>
        </m:r>
        <m:r>
          <m:t>e</m:t>
        </m:r>
        <m:r>
          <m:t>M</m:t>
        </m:r>
        <m:r>
          <m:t>o</m:t>
        </m:r>
        <m:r>
          <m:t>d</m:t>
        </m:r>
        <m:r>
          <m:t>u</m:t>
        </m:r>
        <m:r>
          <m:t>l</m:t>
        </m:r>
        <m:r>
          <m:t>e</m:t>
        </m:r>
        <m:sSup>
          <m:e>
            <m:r>
              <m:rPr>
                <m:sty m:val="p"/>
              </m:rPr>
              <m:t>(</m:t>
            </m:r>
          </m:e>
          <m:sup>
            <m:r>
              <m:rPr>
                <m:sty m:val="p"/>
              </m:rPr>
              <m:t>′</m:t>
            </m:r>
          </m:sup>
        </m:sSup>
        <m:r>
          <m:t>S</m:t>
        </m:r>
        <m:r>
          <m:t>e</m:t>
        </m:r>
        <m:r>
          <m:t>c</m:t>
        </m:r>
        <m:r>
          <m:t>u</m:t>
        </m:r>
        <m:r>
          <m:t>r</m:t>
        </m:r>
        <m:r>
          <m:t>i</m:t>
        </m:r>
        <m:r>
          <m:t>t</m:t>
        </m:r>
        <m:sSup>
          <m:e>
            <m:r>
              <m:t>y</m:t>
            </m:r>
          </m:e>
          <m:sup>
            <m:r>
              <m:rPr>
                <m:sty m:val="p"/>
              </m:rPr>
              <m:t>′</m:t>
            </m:r>
          </m:sup>
        </m:sSup>
        <m:r>
          <m:rPr>
            <m:sty m:val="p"/>
          </m:rPr>
          <m:t>)</m:t>
        </m:r>
        <m:r>
          <m:t> </m:t>
        </m:r>
        <m:r>
          <m:t> </m:t>
        </m:r>
        <m:r>
          <m:rPr>
            <m:sty m:val="p"/>
          </m:rPr>
          <m:t>&gt;</m:t>
        </m:r>
        <m:r>
          <m:t>E</m:t>
        </m:r>
        <m:r>
          <m:t>n</m:t>
        </m:r>
        <m:r>
          <m:t>s</m:t>
        </m:r>
        <m:r>
          <m:t>u</m:t>
        </m:r>
        <m:r>
          <m:t>r</m:t>
        </m:r>
        <m:r>
          <m:t>e</m:t>
        </m:r>
        <m:r>
          <m:t>P</m:t>
        </m:r>
        <m:r>
          <m:t>h</m:t>
        </m:r>
        <m:r>
          <m:t>y</m:t>
        </m:r>
        <m:r>
          <m:t>s</m:t>
        </m:r>
        <m:r>
          <m:t>i</m:t>
        </m:r>
        <m:r>
          <m:t>c</m:t>
        </m:r>
        <m:r>
          <m:t>a</m:t>
        </m:r>
        <m:r>
          <m:t>l</m:t>
        </m:r>
        <m:r>
          <m:t>S</m:t>
        </m:r>
        <m:r>
          <m:t>i</m:t>
        </m:r>
        <m:r>
          <m:t>d</m:t>
        </m:r>
        <m:r>
          <m:rPr>
            <m:sty m:val="p"/>
          </m:rPr>
          <m:t>(</m:t>
        </m:r>
      </m:oMath>
      <w:r>
        <w:t xml:space="preserve">r). Это переводит назначение SID на API, вынесенный в I128-2487.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Compact"/>
        <w:numPr>
          <w:ilvl w:val="0"/>
          <w:numId w:val="1001"/>
        </w:numPr>
      </w:pPr>
      <w:r>
        <w:t xml:space="preserve">I128-2503 Исправить служебные связи UsersBooklist</w:t>
      </w:r>
    </w:p>
    <w:p>
      <w:pPr>
        <w:pStyle w:val="Compact"/>
        <w:numPr>
          <w:ilvl w:val="0"/>
          <w:numId w:val="1001"/>
        </w:numPr>
      </w:pPr>
      <w:r>
        <w:t xml:space="preserve">I128-2504 Исправить служебные поля he2</w:t>
      </w:r>
    </w:p>
    <w:p>
      <w:pPr>
        <w:pStyle w:val="Compact"/>
        <w:numPr>
          <w:ilvl w:val="0"/>
          <w:numId w:val="1001"/>
        </w:numPr>
      </w:pPr>
      <w:r>
        <w:t xml:space="preserve">I128-2505 Исправить служебные поля WIrbis</w:t>
      </w:r>
    </w:p>
    <w:p>
      <w:pPr>
        <w:pStyle w:val="Compact"/>
        <w:numPr>
          <w:ilvl w:val="0"/>
          <w:numId w:val="1001"/>
        </w:numPr>
      </w:pPr>
      <w:r>
        <w:t xml:space="preserve">I128-2506 Исправить служебные поля Authorisation</w:t>
      </w:r>
    </w:p>
    <w:p>
      <w:pPr>
        <w:pStyle w:val="Compact"/>
        <w:numPr>
          <w:ilvl w:val="0"/>
          <w:numId w:val="1001"/>
        </w:numPr>
      </w:pPr>
      <w:r>
        <w:t xml:space="preserve">I128-2507 Исправить управление правами Admin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blocks-i128-2487"/>
    <w:p>
      <w:pPr>
        <w:pStyle w:val="Heading3"/>
      </w:pPr>
      <w:r>
        <w:t xml:space="preserve">1.1. 🔗 blocks: I128-2487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[I128-2487]</w:t>
        </w:r>
      </w:hyperlink>
      <w:r>
        <w:t xml:space="preserve"> </w:t>
      </w:r>
      <w:r>
        <w:t xml:space="preserve">Security: служебное поле 113 создается без явного действия безопасности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2487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2487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[I128-2496] ServiceDesk: SID обращения назначается вне Security</dc:title>
  <dc:creator/>
  <cp:keywords/>
  <dcterms:created xsi:type="dcterms:W3CDTF">2026-09-06T11:02:17Z</dcterms:created>
  <dcterms:modified xsi:type="dcterms:W3CDTF">2026-09-06T11:02:17Z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