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[I128-2177] Класс ObjectDataIni модуля 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7-класс-objectdataini-модуля-ini"/>
    <w:p>
      <w:pPr>
        <w:pStyle w:val="Heading1"/>
      </w:pPr>
      <w:r>
        <w:t xml:space="preserve">[I128-2177] Класс ObjectDataIni модуля 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01:52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Ini/ObjectDataIni. Раздел подключен из Ini/Root, а Ini/Purpose ссылается на подробный контракт класса.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классе ObjectDataIni. Описано, что Ini::GetNew() возвращает ObjectDataIni, перечислены методы загрузки, разбора, кеширования, чтения значений, объединения INI и выгрузки структуры в текст или JSON. Зафиксирована совместимость с прежним модульным вызовом Ini::ApplyIni($target, $source) и перенос логики из modules/Ini/__call в методы объекта.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класс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?id=Help/Show&amp;m=Ini/ObjectDataIni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7"/>
    <w:p>
      <w:pPr>
        <w:pStyle w:val="Heading3"/>
      </w:pPr>
      <w:r>
        <w:t xml:space="preserve">1.1. 🔗 Соответствует задача: I128-2167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[I128-2177] Класс ObjectDataIni модуля Ini</dc:title>
  <dc:creator/>
  <cp:keywords/>
  <dcterms:created xsi:type="dcterms:W3CDTF">2026-09-06T12:36:53Z</dcterms:created>
  <dcterms:modified xsi:type="dcterms:W3CDTF">2026-09-06T12:36:53Z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