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&amp;uf(’K… - Раскодировка через справочник (меню)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k---раскодировка-через-справочник-меню"/>
    <w:p>
      <w:pPr>
        <w:pStyle w:val="Heading1"/>
      </w:pPr>
      <w:r>
        <w:t xml:space="preserve">&amp;uf(’K… - Раскодировка через справочник (меню)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Раскодировка через справочник (меню)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K&lt;имя_меню&gt;\&lt;исх_значение&gt;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&lt;разделитель&gt; между &lt;имя_справочника&gt; и &lt;исх_значение&gt; может быть двух видов:</w:t>
      </w:r>
      <w:r>
        <w:t xml:space="preserve"> </w:t>
      </w:r>
      <w:r>
        <w:t xml:space="preserve">*  - раскодировка с учетом регистра,</w:t>
      </w:r>
      <w:r>
        <w:t xml:space="preserve"> </w:t>
      </w:r>
      <w:r>
        <w:t xml:space="preserve">* ! - раскодировка без учета регистра.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&amp;unifor("Kjz.mnu\"v101)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&amp;uf(’K… - Раскодировка через справочник (меню)</dc:title>
  <dc:creator/>
  <cp:keywords/>
  <dcterms:created xsi:type="dcterms:W3CDTF">2026-09-06T22:43:05Z</dcterms:created>
  <dcterms:modified xsi:type="dcterms:W3CDTF">2026-09-06T22:43:05Z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