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[I128-2490] ЭДД: право просмотра заявки назначается вне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bc987eb37e9b51cbdca21c5454ee1d6e6933bc"/>
    <w:p>
      <w:pPr>
        <w:pStyle w:val="Heading1"/>
      </w:pPr>
      <w:r>
        <w:t xml:space="preserve">[I128-2490] ЭДД: право просмотра заявки назначается вне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21:51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создании заявки ЭДД право просмотра для IP добавляется в служебное поле 113 прямой записью из модуля CSpiderEDD. После выделения границы ответственности Security это оставляет часть сценария создания заявки вне общего механизма управления правами.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Создание заявки ЭДД использует общий механизм Security для назначения права просмотра. Для пользователя сценарий не меняется: заявка создается, а доступ к ней назначается автоматически.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 modules/CSpiderEDD/api.php прямое добавление SEC</w:t>
      </w:r>
      <w:r>
        <w:rPr>
          <w:strike/>
        </w:rPr>
        <w:t xml:space="preserve">поля через</w:t>
      </w:r>
      <w:r>
        <w:rPr>
          <w:strike/>
        </w:rPr>
        <w:t xml:space="preserve"> </w:t>
      </w:r>
      <m:oMath>
        <m:r>
          <m:t>r</m:t>
        </m:r>
        <m:r>
          <m:t>a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F</m:t>
        </m:r>
        <m:r>
          <m:t>i</m:t>
        </m:r>
        <m:r>
          <m:t>e</m:t>
        </m:r>
        <m:r>
          <m:t>l</m:t>
        </m:r>
        <m:r>
          <m:t>d</m:t>
        </m:r>
        <m:r>
          <m:t>A</m:t>
        </m:r>
        <m:r>
          <m:t>d</m:t>
        </m:r>
        <m:r>
          <m:t>d</m:t>
        </m:r>
        <m:r>
          <m:t>A</m:t>
        </m:r>
        <m:r>
          <m:rPr>
            <m:sty m:val="p"/>
          </m:rPr>
          <m:t>(</m:t>
        </m:r>
        <m:r>
          <m:t>113</m:t>
        </m:r>
        <m:r>
          <m:rPr>
            <m:sty m:val="p"/>
          </m:rPr>
          <m:t>,</m:t>
        </m:r>
        <m:r>
          <m:rPr>
            <m:sty m:val="p"/>
          </m:rPr>
          <m:t>.</m:t>
        </m:r>
        <m:r>
          <m:rPr>
            <m:sty m:val="p"/>
          </m:rPr>
          <m:t>.</m:t>
        </m:r>
        <m:r>
          <m:rPr>
            <m:sty m:val="p"/>
          </m:rPr>
          <m:t>.</m:t>
        </m:r>
        <m:r>
          <m:rPr>
            <m:sty m:val="p"/>
          </m:rPr>
          <m:t>)</m:t>
        </m:r>
        <m:r>
          <m:t>з</m:t>
        </m:r>
        <m:r>
          <m:t>а</m:t>
        </m:r>
        <m:r>
          <m:t>м</m:t>
        </m:r>
        <m:r>
          <m:t>е</m:t>
        </m:r>
        <m:r>
          <m:t>н</m:t>
        </m:r>
        <m:r>
          <m:t>я</m:t>
        </m:r>
        <m:r>
          <m:t>е</m:t>
        </m:r>
        <m:r>
          <m:t>т</m:t>
        </m:r>
        <m:r>
          <m:t>с</m:t>
        </m:r>
        <m:r>
          <m:t>я</m:t>
        </m:r>
        <m:r>
          <m:t>н</m:t>
        </m:r>
        <m:r>
          <m:t>а</m:t>
        </m:r>
        <m:r>
          <m:t>U</m:t>
        </m:r>
        <m:r>
          <m:t>s</m:t>
        </m:r>
        <m:r>
          <m:t>e</m:t>
        </m:r>
        <m:r>
          <m:t>M</m:t>
        </m:r>
        <m:r>
          <m:t>o</m:t>
        </m:r>
        <m:r>
          <m:t>d</m:t>
        </m:r>
        <m:r>
          <m:t>u</m:t>
        </m:r>
        <m:r>
          <m:t>l</m:t>
        </m:r>
        <m:r>
          <m:t>e</m:t>
        </m:r>
        <m:sSup>
          <m:e>
            <m:r>
              <m:rPr>
                <m:sty m:val="p"/>
              </m:rPr>
              <m:t>(</m:t>
            </m:r>
          </m:e>
          <m:sup>
            <m:r>
              <m:rPr>
                <m:sty m:val="p"/>
              </m:rPr>
              <m:t>′</m:t>
            </m:r>
          </m:sup>
        </m:sSup>
        <m:r>
          <m:t>S</m:t>
        </m:r>
        <m:r>
          <m:t>e</m:t>
        </m:r>
        <m:r>
          <m:t>c</m:t>
        </m:r>
        <m:r>
          <m:t>u</m:t>
        </m:r>
        <m:r>
          <m:t>r</m:t>
        </m:r>
        <m:r>
          <m:t>i</m:t>
        </m:r>
        <m:r>
          <m:t>t</m:t>
        </m:r>
        <m:sSup>
          <m:e>
            <m:r>
              <m:t>y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)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M</m:t>
        </m:r>
        <m:r>
          <m:t>a</m:t>
        </m:r>
        <m:r>
          <m:t>t</m:t>
        </m:r>
        <m:r>
          <m:t>e</m:t>
        </m:r>
        <m:r>
          <m:t>r</m:t>
        </m:r>
        <m:r>
          <m:t>i</m:t>
        </m:r>
        <m:r>
          <m:t>a</m:t>
        </m:r>
        <m:r>
          <m:t>l</m:t>
        </m:r>
        <m:r>
          <m:t>i</m:t>
        </m:r>
        <m:r>
          <m:t>z</m:t>
        </m:r>
        <m:r>
          <m:t>e</m:t>
        </m:r>
        <m:r>
          <m:t>R</m:t>
        </m:r>
        <m:r>
          <m:t>i</m:t>
        </m:r>
        <m:r>
          <m:t>g</m:t>
        </m:r>
        <m:r>
          <m:t>h</m:t>
        </m:r>
        <m:r>
          <m:t>t</m:t>
        </m:r>
        <m:r>
          <m:rPr>
            <m:sty m:val="p"/>
          </m:rPr>
          <m:t>(</m:t>
        </m:r>
      </m:oMath>
      <w:r>
        <w:rPr>
          <w:strike/>
        </w:rPr>
        <w:t xml:space="preserve">ra,</w:t>
      </w:r>
      <w:r>
        <w:rPr>
          <w:strike/>
        </w:rPr>
        <w:t xml:space="preserve"> </w:t>
      </w:r>
      <w:r>
        <w:rPr>
          <w:strike/>
        </w:rPr>
        <w:t xml:space="preserve">‘Ip’</w:t>
      </w:r>
      <w:r>
        <w:rPr>
          <w:strike/>
        </w:rPr>
        <w:t xml:space="preserve">,</w:t>
      </w:r>
      <w:r>
        <w:rPr>
          <w:strike/>
        </w:rPr>
        <w:t xml:space="preserve"> </w:t>
      </w:r>
      <w:r>
        <w:rPr>
          <w:strike/>
        </w:rPr>
        <w:t xml:space="preserve">‘1’</w:t>
      </w:r>
      <w:r>
        <w:rPr>
          <w:strike/>
        </w:rPr>
        <w:t xml:space="preserve">,</w:t>
      </w:r>
      <w:r>
        <w:rPr>
          <w:strike/>
        </w:rPr>
        <w:t xml:space="preserve"> </w:t>
      </w:r>
      <w:r>
        <w:rPr>
          <w:strike/>
        </w:rPr>
        <w:t xml:space="preserve">‘view’</w:t>
      </w:r>
      <w:r>
        <w:rPr>
          <w:strike/>
        </w:rPr>
        <w:t xml:space="preserve">,</w:t>
      </w:r>
      <w:r>
        <w:rPr>
          <w:strike/>
        </w:rPr>
        <w:t xml:space="preserve"> </w:t>
      </w:r>
      <w:r>
        <w:rPr>
          <w:strike/>
        </w:rPr>
        <w:t xml:space="preserve">‘1’</w:t>
      </w:r>
      <w:r>
        <w:rPr>
          <w:strike/>
        </w:rPr>
        <w:t xml:space="preserve">). Это переводит назначение права на API, вынесенный в I128</w:t>
      </w:r>
      <w:r>
        <w:t xml:space="preserve">2487.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[I128-2490] ЭДД: право просмотра заявки назначается вне Security</dc:title>
  <dc:creator/>
  <cp:keywords/>
  <dcterms:created xsi:type="dcterms:W3CDTF">2026-09-09T11:19:13Z</dcterms:created>
  <dcterms:modified xsi:type="dcterms:W3CDTF">2026-09-09T11:19:13Z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