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Провайдеры и подключение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провайдеры-и-подключение"/>
    <w:p>
      <w:pPr>
        <w:pStyle w:val="Heading1"/>
      </w:pPr>
      <w:r>
        <w:t xml:space="preserve">Провайдеры и подключение</w:t>
      </w:r>
    </w:p>
    <w:p>
      <w:pPr>
        <w:pStyle w:val="FirstParagraph"/>
      </w:pPr>
      <w:r>
        <w:t xml:space="preserve">При инициализации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выбирает корневой провайдер доступа к ИРБИС64 по настройке</w:t>
      </w:r>
      <w:r>
        <w:t xml:space="preserve"> </w:t>
      </w:r>
      <w:r>
        <w:rPr>
          <w:rStyle w:val="VerbatimChar"/>
        </w:rPr>
        <w:t xml:space="preserve">OPTIONS['localProvider']</w:t>
      </w:r>
      <w:r>
        <w:t xml:space="preserve">.</w:t>
      </w:r>
    </w:p>
    <w:bookmarkStart w:id="10" w:name="варианты-подключения"/>
    <w:p>
      <w:pPr>
        <w:pStyle w:val="Heading2"/>
      </w:pPr>
      <w:r>
        <w:t xml:space="preserve">1. Варианты подключения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DP_Irbis64Direct</w:t>
      </w:r>
      <w:r>
        <w:t xml:space="preserve"> </w:t>
      </w:r>
      <w:r>
        <w:t xml:space="preserve">- прямой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DP_Irbis64Native</w:t>
      </w:r>
      <w:r>
        <w:t xml:space="preserve"> </w:t>
      </w:r>
      <w:r>
        <w:t xml:space="preserve">- нативный локальный провайдер, если он явно указан;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DP_Irbis64</w:t>
      </w:r>
      <w:r>
        <w:t xml:space="preserve"> </w:t>
      </w:r>
      <w:r>
        <w:t xml:space="preserve">- TCP/IP-провайдер по умолчанию.</w:t>
      </w:r>
    </w:p>
    <w:p>
      <w:pPr>
        <w:pStyle w:val="FirstParagraph"/>
      </w:pPr>
      <w:r>
        <w:t xml:space="preserve">Подробное описание нативного локального провайдера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DP_Irbis64Native</w:t>
        </w:r>
      </w:hyperlink>
      <w:r>
        <w:t xml:space="preserve">.</w:t>
      </w:r>
    </w:p>
    <w:p>
      <w:pPr>
        <w:pStyle w:val="BodyText"/>
      </w:pPr>
      <w:r>
        <w:t xml:space="preserve">Для TCP/IP-подключения используются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i128Login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i128Password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i64MasterHost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i64MasterPort</w:t>
      </w:r>
      <w:r>
        <w:t xml:space="preserve">.</w:t>
      </w:r>
    </w:p>
    <w:p>
      <w:pPr>
        <w:pStyle w:val="FirstParagraph"/>
      </w:pPr>
      <w:r>
        <w:t xml:space="preserve">Если доступен файл</w:t>
      </w:r>
      <w:r>
        <w:t xml:space="preserve"> </w:t>
      </w:r>
      <w:r>
        <w:rPr>
          <w:rStyle w:val="VerbatimChar"/>
        </w:rPr>
        <w:t xml:space="preserve">IrbisExecPath/irbis_server.ini</w:t>
      </w:r>
      <w:r>
        <w:t xml:space="preserve">, модуль читает его через</w:t>
      </w:r>
      <w:r>
        <w:t xml:space="preserve"> </w:t>
      </w:r>
      <w:r>
        <w:rPr>
          <w:rStyle w:val="VerbatimChar"/>
        </w:rPr>
        <w:t xml:space="preserve">Ini</w:t>
      </w:r>
      <w:r>
        <w:t xml:space="preserve"> </w:t>
      </w:r>
      <w:r>
        <w:t xml:space="preserve">и предоставляет значения через</w:t>
      </w:r>
      <w:r>
        <w:t xml:space="preserve"> </w:t>
      </w:r>
      <w:r>
        <w:rPr>
          <w:rStyle w:val="VerbatimChar"/>
        </w:rPr>
        <w:t xml:space="preserve">GetServerIni()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getServerValue()</w:t>
      </w:r>
      <w:r>
        <w:t xml:space="preserve">.</w:t>
      </w:r>
    </w:p>
    <w:bookmarkEnd w:id="10"/>
    <w:bookmarkStart w:id="11" w:name="открытие-баз"/>
    <w:p>
      <w:pPr>
        <w:pStyle w:val="Heading2"/>
      </w:pPr>
      <w:r>
        <w:t xml:space="preserve">2. Открытие баз</w:t>
      </w:r>
    </w:p>
    <w:p>
      <w:pPr>
        <w:pStyle w:val="FirstParagraph"/>
      </w:pPr>
      <w:r>
        <w:rPr>
          <w:rStyle w:val="VerbatimChar"/>
        </w:rPr>
        <w:t xml:space="preserve">OpenDbByMnemonicName</w:t>
      </w:r>
      <w:r>
        <w:t xml:space="preserve"> </w:t>
      </w:r>
      <w:r>
        <w:t xml:space="preserve">создает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, применяет настройки ARM и INI базы, загружает</w:t>
      </w:r>
      <w:r>
        <w:t xml:space="preserve"> </w:t>
      </w:r>
      <w:r>
        <w:rPr>
          <w:rStyle w:val="VerbatimChar"/>
        </w:rPr>
        <w:t xml:space="preserve">WSOPT</w:t>
      </w:r>
      <w:r>
        <w:t xml:space="preserve">,</w:t>
      </w:r>
      <w:r>
        <w:t xml:space="preserve"> </w:t>
      </w:r>
      <w:r>
        <w:rPr>
          <w:rStyle w:val="VerbatimChar"/>
        </w:rPr>
        <w:t xml:space="preserve">PFTOPT</w:t>
      </w:r>
      <w:r>
        <w:t xml:space="preserve">,</w:t>
      </w:r>
      <w:r>
        <w:t xml:space="preserve"> </w:t>
      </w:r>
      <w:r>
        <w:rPr>
          <w:rStyle w:val="VerbatimChar"/>
        </w:rPr>
        <w:t xml:space="preserve">FMTMNU</w:t>
      </w:r>
      <w:r>
        <w:t xml:space="preserve"> </w:t>
      </w:r>
      <w:r>
        <w:t xml:space="preserve">и при необходимости назначает индивидуальный провайдер базы. Повторное открытие той же базы возвращает уже созданный объект.</w:t>
      </w:r>
    </w:p>
    <w:p>
      <w:pPr>
        <w:pStyle w:val="BodyText"/>
      </w:pPr>
      <w:r>
        <w:t xml:space="preserve">Для открытия базы в режиме чтения имя может передаваться с префиксом</w:t>
      </w:r>
      <w:r>
        <w:t xml:space="preserve"> </w:t>
      </w:r>
      <w:r>
        <w:rPr>
          <w:rStyle w:val="VerbatimChar"/>
        </w:rPr>
        <w:t xml:space="preserve">-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-IBIS</w:t>
      </w:r>
      <w:r>
        <w:t xml:space="preserve">.</w:t>
      </w:r>
    </w:p>
    <w:bookmarkEnd w:id="11"/>
    <w:bookmarkStart w:id="12" w:name="доступ-к-провайдеру-и-кэшу-открытых-баз"/>
    <w:p>
      <w:pPr>
        <w:pStyle w:val="Heading2"/>
      </w:pPr>
      <w:r>
        <w:t xml:space="preserve">3. Доступ к провайдеру и кэшу открытых баз</w:t>
      </w:r>
    </w:p>
    <w:p>
      <w:pPr>
        <w:pStyle w:val="FirstParagraph"/>
      </w:pPr>
      <w:r>
        <w:rPr>
          <w:rStyle w:val="VerbatimChar"/>
        </w:rPr>
        <w:t xml:space="preserve">$RootDP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$Databases</w:t>
      </w:r>
      <w:r>
        <w:t xml:space="preserve"> </w:t>
      </w:r>
      <w:r>
        <w:t xml:space="preserve">являются внутренним состоянием модуля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и не предназначены для прямого чтения или изменения из других модулей. Для внешнего кода поддерживается доступ через публичные методы: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GetRootDP()</w:t>
      </w:r>
      <w:r>
        <w:t xml:space="preserve"> </w:t>
      </w:r>
      <w:r>
        <w:t xml:space="preserve">возвращает корневой провайдер после успешного подключения модуля;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GetRootAdminDP()</w:t>
      </w:r>
      <w:r>
        <w:t xml:space="preserve"> </w:t>
      </w:r>
      <w:r>
        <w:t xml:space="preserve">оставлен как совместимый синоним</w:t>
      </w:r>
      <w:r>
        <w:t xml:space="preserve"> </w:t>
      </w:r>
      <w:r>
        <w:rPr>
          <w:rStyle w:val="VerbatimChar"/>
        </w:rPr>
        <w:t xml:space="preserve">GetRootDP()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GetDb($dbName)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OpenDbByMnemonicName($dbName)</w:t>
      </w:r>
      <w:r>
        <w:t xml:space="preserve"> </w:t>
      </w:r>
      <w:r>
        <w:t xml:space="preserve">возвращают объект базы по мнемоническому имени.</w:t>
      </w:r>
    </w:p>
    <w:p>
      <w:pPr>
        <w:pStyle w:val="FirstParagraph"/>
      </w:pPr>
      <w:r>
        <w:t xml:space="preserve">Такой доступ сохраняет контроль модуля над подключением, режимом открытия базы и кэшем уже созданных объектов. Внешний модуль не должен подменять корневой провайдер или массив открытых баз напрямую: это может нарушить повторное использование объекта базы, режим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и назначение индивидуального провайдера из INI базы.</w:t>
      </w:r>
    </w:p>
    <w:bookmarkEnd w:id="12"/>
    <w:bookmarkStart w:id="13" w:name="ошибки"/>
    <w:p>
      <w:pPr>
        <w:pStyle w:val="Heading2"/>
      </w:pPr>
      <w:r>
        <w:t xml:space="preserve">4. Ошибки</w:t>
      </w:r>
    </w:p>
    <w:p>
      <w:pPr>
        <w:pStyle w:val="FirstParagraph"/>
      </w:pPr>
      <w:r>
        <w:t xml:space="preserve">Метод</w:t>
      </w:r>
      <w:r>
        <w:t xml:space="preserve"> </w:t>
      </w:r>
      <w:r>
        <w:rPr>
          <w:rStyle w:val="VerbatimChar"/>
        </w:rPr>
        <w:t xml:space="preserve">ParseError</w:t>
      </w:r>
      <w:r>
        <w:t xml:space="preserve"> </w:t>
      </w:r>
      <w:r>
        <w:t xml:space="preserve">преобразует типовые коды ошибок ИРБИС64 в русский текст. Для ошибки формально-логического контроля</w:t>
      </w:r>
      <w:r>
        <w:t xml:space="preserve"> </w:t>
      </w:r>
      <w:r>
        <w:rPr>
          <w:rStyle w:val="VerbatimChar"/>
        </w:rPr>
        <w:t xml:space="preserve">-128001</w:t>
      </w:r>
      <w:r>
        <w:t xml:space="preserve"> </w:t>
      </w:r>
      <w:r>
        <w:t xml:space="preserve">дополнительно выводится список сообщений ФЛК.</w:t>
      </w:r>
    </w:p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DP_Irbis64Native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DP_Irbis64Native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Провайдеры и подключение</dc:title>
  <dc:creator/>
  <cp:keywords/>
  <dcterms:created xsi:type="dcterms:W3CDTF">2026-09-10T06:56:22Z</dcterms:created>
  <dcterms:modified xsi:type="dcterms:W3CDTF">2026-09-10T06:56:22Z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