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[I128-2506] Авторизация пользователей: учетные данные и SID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df1dac060a095f98316dcfe5cde4e5fdfc37bf"/>
    <w:p>
      <w:pPr>
        <w:pStyle w:val="Heading1"/>
      </w:pPr>
      <w:r>
        <w:t xml:space="preserve">[I128-2506] Авторизация пользователей: учетные данные и SID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00:34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SID читательских/пользовательских записей, учетные данные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и права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 </w:t>
      </w:r>
      <w:r>
        <w:t xml:space="preserve">частично создаются прямой записью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SetFieldA()</w:t>
      </w:r>
      <w:r>
        <w:t xml:space="preserve"> </w:t>
      </w:r>
      <w:r>
        <w:t xml:space="preserve">и ручную установку подполей. Это обходит централизованный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Регистрация, вход и внешние способы авторизации переводятся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Security::MaterializeAuthField()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. Поведение для пользователя не меняется: регистрация, вход, ESIA/LDAP/VK/OUP/WebIrbis/I128-авторизация продолжают работать, но служебные поля создаются единообразно.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modules/Authorisation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, ручное создание и обновление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полей —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MaterializeAuthField()</w:t>
      </w:r>
      <w:r>
        <w:t xml:space="preserve">, а права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 </w:t>
      </w:r>
      <w:r>
        <w:t xml:space="preserve">— на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авторизации не меняются, исправляется внутренний способ записи SID, учетных данных и прав.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[I128-2506] Авторизация пользователей: учетные данные и SID создаются через Security</dc:title>
  <dc:creator/>
  <cp:keywords/>
  <dcterms:created xsi:type="dcterms:W3CDTF">2026-09-09T00:11:21Z</dcterms:created>
  <dcterms:modified xsi:type="dcterms:W3CDTF">2026-09-09T00:11:21Z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