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[I128-1883] Смена типа RFID - оборудования в интерфейсе АРМ Книговыдачи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cf1fe5f3f77f56b5e66f186c7505f0e5b94c2"/>
    <w:p>
      <w:pPr>
        <w:pStyle w:val="Heading1"/>
      </w:pPr>
      <w:r>
        <w:t xml:space="preserve">[I128-1883] Смена типа RFID - оборудования в интерфейсе АРМ Книговыдачи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2"/>
    <w:p>
      <w:pPr>
        <w:pStyle w:val="Heading3"/>
      </w:pPr>
      <w:r>
        <w:t xml:space="preserve">1.1. 🔗 Соответствует задача: I128-2062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[I128-2062]</w:t>
        </w:r>
      </w:hyperlink>
      <w:r>
        <w:t xml:space="preserve"> </w:t>
      </w:r>
      <w:r>
        <w:t xml:space="preserve">Смена типа RFID - оборудования в интерфейсе АРМ Книговыдачи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[I128-1883] Смена типа RFID - оборудования в интерфейсе АРМ Книговыдачи</dc:title>
  <dc:creator/>
  <cp:keywords/>
  <dcterms:created xsi:type="dcterms:W3CDTF">2026-09-08T23:40:09Z</dcterms:created>
  <dcterms:modified xsi:type="dcterms:W3CDTF">2026-09-08T23:40:09Z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