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[I128-2504] Формы ввода he2: SID и связи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ffb7b51c461d57fd36bdd125f5098de12cb94"/>
    <w:p>
      <w:pPr>
        <w:pStyle w:val="Heading1"/>
      </w:pPr>
      <w:r>
        <w:t xml:space="preserve">[I128-2504] Формы ввода he2: SID и связи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SID новой или редактируемой записи и связи с родительским объектом создаются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$r-&gt;SetSid()</w:t>
      </w:r>
      <w:r>
        <w:t xml:space="preserve">, ручную установку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Set113()</w:t>
      </w:r>
      <w:r>
        <w:t xml:space="preserve"> </w:t>
      </w:r>
      <w:r>
        <w:t xml:space="preserve">и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объектных связей —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. Поведение старого редактора форм не меняется: создание связанных записей, открытие редактора по SID/MFN и сохранение связи с родительским объектом продолжают работать, но служебные поля создаются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modules/he2/Actions/GetEditFormItemsJsonCreateLinked.inc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modules/he2/*_call/InitEditor.inc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modules/he2/api.php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modules/he2/*_call/ShowHtml.inc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UseModule('Security')-&gt;MaterializeLink()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формами ввода не меняется, исправляется внутренний способ записи SID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[I128-2504] Формы ввода he2: SID и связи создаются через Security</dc:title>
  <dc:creator/>
  <cp:keywords/>
  <dcterms:created xsi:type="dcterms:W3CDTF">2026-09-09T00:19:13Z</dcterms:created>
  <dcterms:modified xsi:type="dcterms:W3CDTF">2026-09-09T00:19:13Z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