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[I128-2493] Папки: связь импортированной папки с родителем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23e2a385fdda02adfedfb2e809d45aabe6de26"/>
    <w:p>
      <w:pPr>
        <w:pStyle w:val="Heading1"/>
      </w:pPr>
      <w:r>
        <w:t xml:space="preserve">[I128-2493] Папки: связь импортированной папки с родителем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импорте дерева папок связь новой папки с родительской записью добавляется прямой записью LINK в служебное поле 113. После выделения границы ответственности Security это оставляет часть сценария импорта папок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Импорт дерева папок использует общий механизм Security для создания связи с родительской записью. Для пользователя сценарий остается прежним: папки создаются по импортируемому дереву и связываются с родительскими объектами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modules/Folder/Actions/ImportPathedTree2.inc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r, $linktype,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[I128-2493] Папки: связь импортированной папки с родителем создается вне Security</dc:title>
  <dc:creator/>
  <cp:keywords/>
  <dcterms:created xsi:type="dcterms:W3CDTF">2026-09-09T00:23:37Z</dcterms:created>
  <dcterms:modified xsi:type="dcterms:W3CDTF">2026-09-09T00:23:37Z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