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Служебное поле 113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лужебное-поле-113"/>
    <w:p>
      <w:pPr>
        <w:pStyle w:val="Heading1"/>
      </w:pPr>
      <w:r>
        <w:t xml:space="preserve">Служебное поле 113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используется ИРБИС 128 как служебное поле совместимости, идентификации объектов, прав доступа и некоторых доменных связей. Это не универсальное поле ИРБИС 64, которое должно автоматически появляться в каждой записи.</w:t>
      </w:r>
    </w:p>
    <w:p>
      <w:pPr>
        <w:pStyle w:val="BodyText"/>
      </w:pPr>
      <w:r>
        <w:t xml:space="preserve">Обычные операции чтения и сохранения записи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и другие провайдеры не создают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автоматически. Если поле уже есть в записи, оно сохраняется как часть физической записи и участвует в форматировании, индексировании и экспорте так же, как остальные поля.</w:t>
      </w:r>
    </w:p>
    <w:bookmarkStart w:id="9" w:name="ответственность-модулей"/>
    <w:p>
      <w:pPr>
        <w:pStyle w:val="Heading2"/>
      </w:pPr>
      <w:r>
        <w:t xml:space="preserve">1. Ответственность модулей</w:t>
      </w:r>
    </w:p>
    <w:p>
      <w:pPr>
        <w:pStyle w:val="FirstParagraph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является владельцем модели прав и служебных повторов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которые описывают доступ к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Повтор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^ASID</w:t>
            </w:r>
          </w:p>
        </w:tc>
        <w:tc>
          <w:tcPr/>
          <w:p>
            <w:pPr>
              <w:pStyle w:val="Compact"/>
            </w:pPr>
            <w:r>
              <w:t xml:space="preserve">Системный идентификатор записи, владелец и флаг наследования прав.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^ASEC</w:t>
            </w:r>
          </w:p>
        </w:tc>
        <w:tc>
          <w:tcPr/>
          <w:p>
            <w:pPr>
              <w:pStyle w:val="Compact"/>
            </w:pPr>
            <w:r>
              <w:t xml:space="preserve">Право доступа для группы, пользователя, IP, сайта или другой группы безопасности.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^ALINK</w:t>
            </w:r>
          </w:p>
        </w:tc>
        <w:tc>
          <w:tcPr/>
          <w:p>
            <w:pPr>
              <w:pStyle w:val="Compact"/>
            </w:pPr>
            <w:r>
              <w:t xml:space="preserve">Служебная связь записи с другим объектом по SID.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^AAUTH</w:t>
            </w:r>
          </w:p>
        </w:tc>
        <w:tc>
          <w:tcPr/>
          <w:p>
            <w:pPr>
              <w:pStyle w:val="Compact"/>
            </w:pPr>
            <w:r>
              <w:t xml:space="preserve">Данные авторизации пользователя, если конфигурация авторизации использует поле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^AROLES</w:t>
            </w:r>
          </w:p>
        </w:tc>
        <w:tc>
          <w:tcPr/>
          <w:p>
            <w:pPr>
              <w:pStyle w:val="Compact"/>
            </w:pPr>
            <w:r>
              <w:t xml:space="preserve">Роли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^AMVIDS</w:t>
            </w:r>
          </w:p>
        </w:tc>
        <w:tc>
          <w:tcPr/>
          <w:p>
            <w:pPr>
              <w:pStyle w:val="Compact"/>
            </w:pPr>
            <w:r>
              <w:t xml:space="preserve">Разрешенные места выдачи пользователя для интерфейсов WIrbis/Bookland.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^ASIDTHREAD</w:t>
            </w:r>
          </w:p>
        </w:tc>
        <w:tc>
          <w:tcPr/>
          <w:p>
            <w:pPr>
              <w:pStyle w:val="Compact"/>
            </w:pPr>
            <w:r>
              <w:t xml:space="preserve">Служебная цепочка подчиненных объектов.</w:t>
            </w:r>
          </w:p>
        </w:tc>
      </w:tr>
    </w:tbl>
    <w:p>
      <w:pPr>
        <w:pStyle w:val="BodyText"/>
      </w:pPr>
      <w:r>
        <w:t xml:space="preserve">Доменные модули могут иметь собственные совместимые повторы. Например,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113^AFT</w:t>
      </w:r>
      <w:r>
        <w:t xml:space="preserve"> </w:t>
      </w:r>
      <w:r>
        <w:t xml:space="preserve">для связи библиографической записи с полнотекстовым объектом. Такой повтор создается кодом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а не общим слоем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bookmarkEnd w:id="9"/>
    <w:bookmarkStart w:id="10" w:name="явная-материализация"/>
    <w:p>
      <w:pPr>
        <w:pStyle w:val="Heading2"/>
      </w:pPr>
      <w:r>
        <w:t xml:space="preserve">2. Явная материализация</w:t>
      </w:r>
    </w:p>
    <w:p>
      <w:pPr>
        <w:pStyle w:val="FirstParagraph"/>
      </w:pPr>
      <w:r>
        <w:t xml:space="preserve">Создавать или изменять служебные повторы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нужно только явным вызовом API соответствующего модуля: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API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Создать физический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Security::EnsurePhysicalSid()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Добавить права по умолчанию управляемого объекта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Security::EnsureDefaultRights()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Выполнить совместимую legacy-материализацию прав и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Security::MaterializeRecordSecurity()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Добавить или обновить право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Security::MaterializeRight()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Удалить локальное право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Security::DeleteLocalRights()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Удалить все локальные права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Security::DeleteAllLocalRights()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Сделать унаследованное право локальным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Security::MakeRightsLocal()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Изменить наследование прав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Security::SetRightsParenting()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Изменить владельца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Security::SetOwnerSid()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Создать или удалить</w:t>
            </w:r>
            <w:r>
              <w:t xml:space="preserve"> </w:t>
            </w:r>
            <w:r>
              <w:rPr>
                <w:rStyle w:val="VerbatimChar"/>
              </w:rPr>
              <w:t xml:space="preserve">LINK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Security::MaterializeLink()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Security::DeleteLink()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данные авторизации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Security::MaterializeAuth()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Security::MaterializeAuthField()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роли пользователя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Security::SetRoles()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Security::EnsureRole()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места выдачи пользователя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Security::SetMvids()</w:t>
            </w:r>
          </w:p>
        </w:tc>
      </w:tr>
    </w:tbl>
    <w:p>
      <w:pPr>
        <w:pStyle w:val="BodyText"/>
      </w:pPr>
      <w:r>
        <w:t xml:space="preserve">Код, который только читает или сохраняет запись, не должен вызывать эти методы без явного пользовательского или доменного действия. Низкоуровневый</w:t>
      </w:r>
      <w:r>
        <w:t xml:space="preserve"> </w:t>
      </w:r>
      <w:r>
        <w:rPr>
          <w:rStyle w:val="VerbatimChar"/>
        </w:rPr>
        <w:t xml:space="preserve">Record::SetSid()</w:t>
      </w:r>
      <w:r>
        <w:t xml:space="preserve"> </w:t>
      </w:r>
      <w:r>
        <w:t xml:space="preserve">остается внутренним механизмом физической записи</w:t>
      </w:r>
      <w:r>
        <w:t xml:space="preserve"> </w:t>
      </w:r>
      <w:r>
        <w:rPr>
          <w:rStyle w:val="VerbatimChar"/>
        </w:rPr>
        <w:t xml:space="preserve">113^A=SID</w:t>
      </w:r>
      <w:r>
        <w:t xml:space="preserve">, но прикладные модули должны обращаться к нему через</w:t>
      </w:r>
      <w:r>
        <w:t xml:space="preserve"> </w:t>
      </w:r>
      <w:r>
        <w:rPr>
          <w:rStyle w:val="VerbatimChar"/>
        </w:rPr>
        <w:t xml:space="preserve">Security::EnsurePhysicalSid()</w:t>
      </w:r>
      <w:r>
        <w:t xml:space="preserve">. Legacy-обертки</w:t>
      </w:r>
      <w:r>
        <w:t xml:space="preserve"> </w:t>
      </w:r>
      <w:r>
        <w:rPr>
          <w:rStyle w:val="VerbatimChar"/>
        </w:rPr>
        <w:t xml:space="preserve">Record::EnsureSid()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Record::SidSave()</w:t>
      </w:r>
      <w:r>
        <w:t xml:space="preserve"> </w:t>
      </w:r>
      <w:r>
        <w:t xml:space="preserve">допускаются только как совместимость: материализация SID в них проходит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p>
      <w:pPr>
        <w:pStyle w:val="BodyText"/>
      </w:pPr>
      <w:r>
        <w:t xml:space="preserve">Форматы, списки записей, деревья, preview-панели и другие операции отображения не должны создавать SID и не должны сохранять запись только ради появления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. Если для кеша отображения нужен устойчивый ключ, нужно использовать уже существующий SID или внешний cache-key, не изменяющий запись.</w:t>
      </w:r>
    </w:p>
    <w:p>
      <w:pPr>
        <w:pStyle w:val="BodyText"/>
      </w:pPr>
      <w:r>
        <w:t xml:space="preserve">Инвариант проверяется self-test</w:t>
      </w:r>
      <w:r>
        <w:t xml:space="preserve"> </w:t>
      </w:r>
      <w:r>
        <w:rPr>
          <w:rStyle w:val="VerbatimChar"/>
        </w:rPr>
        <w:t xml:space="preserve">tools/Record113BoundarySelfTest.php</w:t>
      </w:r>
      <w:r>
        <w:t xml:space="preserve">: обычные операции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не должны материализовать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включая повторное сохранение после конфликта версии, lookup по SID не должен вызывать низкоуровневый</w:t>
      </w:r>
      <w:r>
        <w:t xml:space="preserve"> </w:t>
      </w:r>
      <w:r>
        <w:rPr>
          <w:rStyle w:val="VerbatimChar"/>
        </w:rPr>
        <w:t xml:space="preserve">SetSid()</w:t>
      </w:r>
      <w:r>
        <w:t xml:space="preserve">, а явное создание SID и прав выполняется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 Тот же тест покрывает legacy helper старого WS-редактора</w:t>
      </w:r>
      <w:r>
        <w:t xml:space="preserve"> </w:t>
      </w:r>
      <w:r>
        <w:rPr>
          <w:rStyle w:val="VerbatimChar"/>
        </w:rPr>
        <w:t xml:space="preserve">WS/JS/GetRLList</w:t>
      </w:r>
      <w:r>
        <w:t xml:space="preserve">: если helper должен передать SID в URL и Ajax-параметры, он сначала явно вызывает</w:t>
      </w:r>
      <w:r>
        <w:t xml:space="preserve"> </w:t>
      </w:r>
      <w:r>
        <w:rPr>
          <w:rStyle w:val="VerbatimChar"/>
        </w:rPr>
        <w:t xml:space="preserve">Security::EnsurePhysicalSid()</w:t>
      </w:r>
      <w:r>
        <w:t xml:space="preserve">, а затем использует уже материализованный SID.</w:t>
      </w:r>
    </w:p>
    <w:bookmarkEnd w:id="10"/>
    <w:bookmarkStart w:id="11" w:name="совместимость-с-ирбис-64-и-irbistool"/>
    <w:p>
      <w:pPr>
        <w:pStyle w:val="Heading2"/>
      </w:pPr>
      <w:r>
        <w:t xml:space="preserve">3. Совместимость с ИРБИС 64 и irbistool</w:t>
      </w:r>
    </w:p>
    <w:p>
      <w:pPr>
        <w:pStyle w:val="FirstParagraph"/>
      </w:pPr>
      <w:r>
        <w:t xml:space="preserve">Если запись уже содержит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ИРБИС 128 должен сохранить его без потерь. Это важно для совместимости с существующими базами, форматами, индексированием и проверками соответствия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.</w:t>
      </w:r>
    </w:p>
    <w:p>
      <w:pPr>
        <w:pStyle w:val="BodyText"/>
      </w:pPr>
      <w:r>
        <w:t xml:space="preserve">Провайдеры данных отвечают за физическое чтение и запись полей. Они не принимают решение о том, что записи нужен SID, право, роль или связь. Такое решение принимает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или доменный модуль, который выполняет конкретную пользовательскую операцию.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Операции миграции и слияния записей могут переносить уже существующее физическое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из одной записи в другую. Это не считается автоматической генерацией. Такие операции должны сохранять структуру поля как данные источника и не добавлять новые служебные повторы без явной цели миграции.</w:t>
      </w:r>
    </w:p>
    <w:p>
      <w:pPr>
        <w:pStyle w:val="BodyText"/>
      </w:pPr>
      <w:r>
        <w:t xml:space="preserve">Очистка старых некорректных повторов, например пустых</w:t>
      </w:r>
      <w:r>
        <w:t xml:space="preserve"> </w:t>
      </w:r>
      <w:r>
        <w:rPr>
          <w:rStyle w:val="VerbatimChar"/>
        </w:rPr>
        <w:t xml:space="preserve">LINK</w:t>
      </w:r>
      <w:r>
        <w:t xml:space="preserve">, допускается как миграционная или доменная нормализация данных. Она должна быть локализована в соответствующем модуле и не должна превращаться в общее правило сохранения записи.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Служебное поле 113</dc:title>
  <dc:creator/>
  <cp:keywords/>
  <dcterms:created xsi:type="dcterms:W3CDTF">2026-10-29T10:11:30Z</dcterms:created>
  <dcterms:modified xsi:type="dcterms:W3CDTF">2026-10-29T10:11:30Z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