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[I128-2387] Документировать ссылки по статьям и номерам журналов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01a912e39184b5cd76959604f65fe5095dcad"/>
    <w:p>
      <w:pPr>
        <w:pStyle w:val="Heading1"/>
      </w:pPr>
      <w:r>
        <w:t xml:space="preserve">[I128-2387] Документировать ссылки по статьям и номерам журналов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18:31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в описании таблицы слияний добавлено пояснение по ссылкам и фильтрам для связанных шифров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в таблице слияний можно открыть связанные записи журнала, номера журнала или статьи в Электронном каталоге, а также отфильтровать таблицу по выбранному шифру через служебные ссылки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9"/>
    <w:p>
      <w:pPr>
        <w:pStyle w:val="Heading3"/>
      </w:pPr>
      <w:r>
        <w:t xml:space="preserve">1.1. 🔗 Соответствует задача: I128-2369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[I128-2369]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[I128-2387] Документировать ссылки по статьям и номерам журналов в таблице слияний</dc:title>
  <dc:creator/>
  <cp:keywords/>
  <dcterms:created xsi:type="dcterms:W3CDTF">2026-10-15T22:37:39Z</dcterms:created>
  <dcterms:modified xsi:type="dcterms:W3CDTF">2026-10-15T22:37:39Z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