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[I128-1804] Параметр AccessDel для удаления отмеченных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164ee7c0a4cc811103291f46d6fce01e6ef8af4"/>
    <w:p>
      <w:pPr>
        <w:pStyle w:val="Heading1"/>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11" w:name="связанные-задачи"/>
    <w:p>
      <w:pPr>
        <w:pStyle w:val="Heading2"/>
      </w:pPr>
      <w:r>
        <w:t xml:space="preserve">1. Связанные задачи</w:t>
      </w:r>
    </w:p>
    <w:bookmarkStart w:id="10" w:name="соответствует-задача-i128-1802"/>
    <w:p>
      <w:pPr>
        <w:pStyle w:val="Heading3"/>
      </w:pPr>
      <w:r>
        <w:t xml:space="preserve">1.1. 🔗 Соответствует задача: I128-1802</w:t>
      </w:r>
    </w:p>
    <w:p>
      <w:pPr>
        <w:pStyle w:val="BlockText"/>
      </w:pPr>
      <w:hyperlink r:id="rId9">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1802/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1802/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[I128-1804] Параметр AccessDel для удаления отмеченных полей</dc:title>
  <dc:creator/>
  <cp:keywords/>
  <dcterms:created xsi:type="dcterms:W3CDTF">2026-10-24T04:54:58Z</dcterms:created>
  <dcterms:modified xsi:type="dcterms:W3CDTF">2026-10-24T04:54:58Z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