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[I128-2502] Управление пользователями: авторизационные поля обновляются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b956d7d8343865b29c8674b65d8f320400c71"/>
    <w:p>
      <w:pPr>
        <w:pStyle w:val="Heading1"/>
      </w:pPr>
      <w:r>
        <w:t xml:space="preserve">[I128-2502] Управление пользователями: авторизационные поля обновляются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при изменении email/пароля авторизационное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собирается вручную строкой и записывается через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FieldAdd()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Оба сценария обновления авторизационных данных переводятся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для пользователя не меняется: email, пароль, код подтверждения и служебные признаки продолжают сохраняться, но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выполняется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ручная сборка поля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UseModule('Security')-&gt;MaterializeAuth()</w:t>
      </w:r>
      <w:r>
        <w:t xml:space="preserve"> </w:t>
      </w:r>
      <w:r>
        <w:t xml:space="preserve">в обоих сценариях обновления учетных данных.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изменения данных не меняется, исправляется внутренний способ записи авторизационного поля.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[I128-2502] Управление пользователями: авторизационные поля обновляются через Security</dc:title>
  <dc:creator/>
  <cp:keywords/>
  <dcterms:created xsi:type="dcterms:W3CDTF">2026-10-15T18:47:55Z</dcterms:created>
  <dcterms:modified xsi:type="dcterms:W3CDTF">2026-10-15T18:47:55Z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