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Форматирование записей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27" w:name="форматирование-записей"/>
    <w:p>
      <w:pPr>
        <w:pStyle w:val="Heading1"/>
      </w:pPr>
      <w:r>
        <w:t xml:space="preserve">Форматирование записей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Format</w:t>
      </w:r>
      <w:r>
        <w:t xml:space="preserve"> </w:t>
      </w:r>
      <w:r>
        <w:t xml:space="preserve">выполняет форматы представления записей в ИРБИС 128. Он поддерживает PHP-форматы</w:t>
      </w:r>
      <w:r>
        <w:t xml:space="preserve"> </w:t>
      </w:r>
      <w:r>
        <w:rPr>
          <w:rStyle w:val="VerbatimChar"/>
        </w:rPr>
        <w:t xml:space="preserve">.pft128</w:t>
      </w:r>
      <w:r>
        <w:t xml:space="preserve">, встроенный набор форматов из</w:t>
      </w:r>
      <w:r>
        <w:t xml:space="preserve"> </w:t>
      </w:r>
      <w:r>
        <w:rPr>
          <w:rStyle w:val="VerbatimChar"/>
        </w:rPr>
        <w:t xml:space="preserve">modules/Format/formats</w:t>
      </w:r>
      <w:r>
        <w:t xml:space="preserve"> </w:t>
      </w:r>
      <w:r>
        <w:t xml:space="preserve">и PHP-реализацию выполнения PFT-форматов ИРБИС 64.</w:t>
      </w:r>
    </w:p>
    <w:bookmarkStart w:id="10" w:name="функции-помощника-php-форматов"/>
    <w:p>
      <w:pPr>
        <w:pStyle w:val="Heading2"/>
      </w:pPr>
      <w:r>
        <w:t xml:space="preserve">Функции помощника PHP-форматов</w:t>
      </w:r>
    </w:p>
    <w:p>
      <w:pPr>
        <w:pStyle w:val="FirstParagraph"/>
      </w:pPr>
      <w:r>
        <w:t xml:space="preserve">PHP-форматы</w:t>
      </w:r>
      <w:r>
        <w:t xml:space="preserve"> </w:t>
      </w:r>
      <w:r>
        <w:rPr>
          <w:rStyle w:val="VerbatimChar"/>
        </w:rPr>
        <w:t xml:space="preserve">.pft128</w:t>
      </w:r>
      <w:r>
        <w:t xml:space="preserve"> </w:t>
      </w:r>
      <w:r>
        <w:t xml:space="preserve">наследуются от</w:t>
      </w:r>
      <w:r>
        <w:t xml:space="preserve"> </w:t>
      </w:r>
      <w:r>
        <w:rPr>
          <w:rStyle w:val="VerbatimChar"/>
        </w:rPr>
        <w:t xml:space="preserve">FormatHelper</w:t>
      </w:r>
      <w:r>
        <w:t xml:space="preserve">. Внутри метода</w:t>
      </w:r>
      <w:r>
        <w:t xml:space="preserve"> </w:t>
      </w:r>
      <w:r>
        <w:rPr>
          <w:rStyle w:val="VerbatimChar"/>
        </w:rPr>
        <w:t xml:space="preserve">Fmt()</w:t>
      </w:r>
      <w:r>
        <w:t xml:space="preserve"> </w:t>
      </w:r>
      <w:r>
        <w:t xml:space="preserve">функции помощника вызываются через</w:t>
      </w:r>
      <w:r>
        <w:t xml:space="preserve"> </w:t>
      </w:r>
      <w:r>
        <w:rPr>
          <w:rStyle w:val="VerbatimChar"/>
        </w:rPr>
        <w:t xml:space="preserve">$this</w:t>
      </w:r>
      <w:r>
        <w:t xml:space="preserve"> </w:t>
      </w:r>
      <w:r>
        <w:t xml:space="preserve">после инициализации текущей базы и записи.</w:t>
      </w:r>
    </w:p>
    <w:bookmarkStart w:id="9" w:name="проверка-непустого-значения-ne"/>
    <w:p>
      <w:pPr>
        <w:pStyle w:val="Heading3"/>
      </w:pPr>
      <w:r>
        <w:t xml:space="preserve">1. Проверка непустого значения:</w:t>
      </w:r>
      <w:r>
        <w:t xml:space="preserve"> </w:t>
      </w:r>
      <w:r>
        <w:rPr>
          <w:rStyle w:val="VerbatimChar"/>
        </w:rPr>
        <w:t xml:space="preserve">ne()</w:t>
      </w:r>
    </w:p>
    <w:p>
      <w:pPr>
        <w:pStyle w:val="SourceCode"/>
      </w:pPr>
      <w:r>
        <w:rPr>
          <w:rStyle w:val="NormalTok"/>
        </w:rPr>
        <w:t xml:space="preserve">ne(</w:t>
      </w:r>
      <w:r>
        <w:rPr>
          <w:rStyle w:val="DataTypeTok"/>
        </w:rPr>
        <w:t xml:space="preserve">int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$fld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string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$subf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''</w:t>
      </w:r>
      <w:r>
        <w:rPr>
          <w:rStyle w:val="NormalTok"/>
        </w:rPr>
        <w:t xml:space="preserve">)</w:t>
      </w:r>
      <w:r>
        <w:rPr>
          <w:rStyle w:val="OtherTok"/>
        </w:rPr>
        <w:t xml:space="preserve">: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bool</w:t>
      </w:r>
    </w:p>
    <w:p>
      <w:pPr>
        <w:pStyle w:val="FirstParagraph"/>
      </w:pPr>
      <w:r>
        <w:rPr>
          <w:rStyle w:val="VerbatimChar"/>
        </w:rPr>
        <w:t xml:space="preserve">ne()</w:t>
      </w:r>
      <w:r>
        <w:t xml:space="preserve"> </w:t>
      </w:r>
      <w:r>
        <w:t xml:space="preserve">проверяет, есть ли в записи хотя бы одно непустое значение заданного поля или подполя. Функция просматривает все повторения поля и возвращает</w:t>
      </w:r>
      <w:r>
        <w:t xml:space="preserve"> </w:t>
      </w:r>
      <w:r>
        <w:rPr>
          <w:rStyle w:val="VerbatimChar"/>
        </w:rPr>
        <w:t xml:space="preserve">true</w:t>
      </w:r>
      <w:r>
        <w:t xml:space="preserve">, как только находит непустой результат чтения через</w:t>
      </w:r>
      <w:r>
        <w:t xml:space="preserve"> </w:t>
      </w:r>
      <w:r>
        <w:rPr>
          <w:rStyle w:val="VerbatimChar"/>
        </w:rPr>
        <w:t xml:space="preserve">v()</w:t>
      </w:r>
      <w:r>
        <w:t xml:space="preserve">.</w:t>
      </w:r>
    </w:p>
    <w:p>
      <w:pPr>
        <w:pStyle w:val="BodyText"/>
      </w:pPr>
      <w:r>
        <w:t xml:space="preserve">Параметры: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$fld</w:t>
            </w:r>
          </w:p>
        </w:tc>
        <w:tc>
          <w:tcPr/>
          <w:p>
            <w:pPr>
              <w:pStyle w:val="Compact"/>
            </w:pPr>
            <w:r>
              <w:t xml:space="preserve">Метка поля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$subf</w:t>
            </w:r>
          </w:p>
        </w:tc>
        <w:tc>
          <w:tcPr/>
          <w:p>
            <w:pPr>
              <w:pStyle w:val="Compact"/>
            </w:pPr>
            <w:r>
              <w:t xml:space="preserve">Код подполя без символа</w:t>
            </w:r>
            <w:r>
              <w:t xml:space="preserve"> </w:t>
            </w:r>
            <w:r>
              <w:rPr>
                <w:rStyle w:val="VerbatimChar"/>
              </w:rPr>
              <w:t xml:space="preserve">^</w:t>
            </w:r>
            <w:r>
              <w:t xml:space="preserve">. Если параметр не задан или равен пустой строке, проверяется поле целиком.</w:t>
            </w:r>
          </w:p>
        </w:tc>
      </w:tr>
    </w:tbl>
    <w:p>
      <w:pPr>
        <w:pStyle w:val="BodyText"/>
      </w:pPr>
      <w:r>
        <w:t xml:space="preserve">Результат: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Условие</w:t>
            </w:r>
          </w:p>
        </w:tc>
        <w:tc>
          <w:tcPr/>
          <w:p>
            <w:pPr>
              <w:pStyle w:val="Compact"/>
            </w:pPr>
            <w:r>
              <w:t xml:space="preserve">Возврат</w:t>
            </w:r>
          </w:p>
        </w:tc>
      </w:tr>
      <w:tr>
        <w:tc>
          <w:tcPr/>
          <w:p>
            <w:pPr>
              <w:pStyle w:val="Compact"/>
            </w:pPr>
            <w:r>
              <w:t xml:space="preserve">В одном из повторений найдено непустое поле или подполе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true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Поле отсутствует, подполе отсутствует во всех повторениях или найденные значения пустые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false</w:t>
            </w:r>
          </w:p>
        </w:tc>
      </w:tr>
    </w:tbl>
    <w:p>
      <w:pPr>
        <w:pStyle w:val="BodyText"/>
      </w:pPr>
      <w:r>
        <w:t xml:space="preserve">Пример использования в формате:</w:t>
      </w:r>
    </w:p>
    <w:p>
      <w:pPr>
        <w:pStyle w:val="SourceCode"/>
      </w:pPr>
      <w:r>
        <w:rPr>
          <w:rStyle w:val="ControlFlowTok"/>
        </w:rPr>
        <w:t xml:space="preserve">if</w:t>
      </w:r>
      <w:r>
        <w:rPr>
          <w:rStyle w:val="NormalTok"/>
        </w:rPr>
        <w:t xml:space="preserve"> (</w:t>
      </w:r>
      <w:r>
        <w:rPr>
          <w:rStyle w:val="VariableTok"/>
        </w:rPr>
        <w:t xml:space="preserve">$this</w:t>
      </w:r>
      <w:r>
        <w:rPr>
          <w:rStyle w:val="NormalTok"/>
        </w:rPr>
        <w:t xml:space="preserve">-&gt;ne(</w:t>
      </w:r>
      <w:r>
        <w:rPr>
          <w:rStyle w:val="DecValTok"/>
        </w:rPr>
        <w:t xml:space="preserve">200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'A'</w:t>
      </w:r>
      <w:r>
        <w:rPr>
          <w:rStyle w:val="NormalTok"/>
        </w:rPr>
        <w:t xml:space="preserve">)) {</w:t>
      </w:r>
      <w:r>
        <w:br/>
      </w:r>
      <w:r>
        <w:rPr>
          <w:rStyle w:val="NormalTok"/>
        </w:rPr>
        <w:t xml:space="preserve">    </w:t>
      </w:r>
      <w:r>
        <w:rPr>
          <w:rStyle w:val="VariableTok"/>
        </w:rPr>
        <w:t xml:space="preserve">$res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.=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$this</w:t>
      </w:r>
      <w:r>
        <w:rPr>
          <w:rStyle w:val="NormalTok"/>
        </w:rPr>
        <w:t xml:space="preserve">-&gt;v(</w:t>
      </w:r>
      <w:r>
        <w:rPr>
          <w:rStyle w:val="DecValTok"/>
        </w:rPr>
        <w:t xml:space="preserve">200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DecValTok"/>
        </w:rPr>
        <w:t xml:space="preserve">0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'A'</w:t>
      </w:r>
      <w:r>
        <w:rPr>
          <w:rStyle w:val="NormalTok"/>
        </w:rPr>
        <w:t xml:space="preserve">)</w:t>
      </w:r>
      <w:r>
        <w:rPr>
          <w:rStyle w:val="OtherTok"/>
        </w:rPr>
        <w:t xml:space="preserve">;</w:t>
      </w:r>
      <w:r>
        <w:br/>
      </w:r>
      <w:r>
        <w:rPr>
          <w:rStyle w:val="NormalTok"/>
        </w:rPr>
        <w:t xml:space="preserve">}</w:t>
      </w:r>
      <w:r>
        <w:br/>
      </w:r>
      <w:r>
        <w:br/>
      </w:r>
      <w:r>
        <w:rPr>
          <w:rStyle w:val="ControlFlowTok"/>
        </w:rPr>
        <w:t xml:space="preserve">if</w:t>
      </w:r>
      <w:r>
        <w:rPr>
          <w:rStyle w:val="NormalTok"/>
        </w:rPr>
        <w:t xml:space="preserve"> (</w:t>
      </w:r>
      <w:r>
        <w:rPr>
          <w:rStyle w:val="VariableTok"/>
        </w:rPr>
        <w:t xml:space="preserve">$this</w:t>
      </w:r>
      <w:r>
        <w:rPr>
          <w:rStyle w:val="NormalTok"/>
        </w:rPr>
        <w:t xml:space="preserve">-&gt;ne(</w:t>
      </w:r>
      <w:r>
        <w:rPr>
          <w:rStyle w:val="DecValTok"/>
        </w:rPr>
        <w:t xml:space="preserve">461</w:t>
      </w:r>
      <w:r>
        <w:rPr>
          <w:rStyle w:val="NormalTok"/>
        </w:rPr>
        <w:t xml:space="preserve">)) {</w:t>
      </w:r>
      <w:r>
        <w:br/>
      </w:r>
      <w:r>
        <w:rPr>
          <w:rStyle w:val="NormalTok"/>
        </w:rPr>
        <w:t xml:space="preserve">    </w:t>
      </w:r>
      <w:r>
        <w:rPr>
          <w:rStyle w:val="VariableTok"/>
        </w:rPr>
        <w:t xml:space="preserve">$res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.=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$this</w:t>
      </w:r>
      <w:r>
        <w:rPr>
          <w:rStyle w:val="NormalTok"/>
        </w:rPr>
        <w:t xml:space="preserve">-&gt;SubFmt(</w:t>
      </w:r>
      <w:r>
        <w:rPr>
          <w:rStyle w:val="StringTok"/>
        </w:rPr>
        <w:t xml:space="preserve">'brief_461'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'IBIS'</w:t>
      </w:r>
      <w:r>
        <w:rPr>
          <w:rStyle w:val="NormalTok"/>
        </w:rPr>
        <w:t xml:space="preserve">)</w:t>
      </w:r>
      <w:r>
        <w:rPr>
          <w:rStyle w:val="OtherTok"/>
        </w:rPr>
        <w:t xml:space="preserve">;</w:t>
      </w:r>
      <w:r>
        <w:br/>
      </w:r>
      <w:r>
        <w:rPr>
          <w:rStyle w:val="NormalTok"/>
        </w:rPr>
        <w:t xml:space="preserve">}</w:t>
      </w:r>
    </w:p>
    <w:p>
      <w:pPr>
        <w:pStyle w:val="FirstParagraph"/>
      </w:pPr>
      <w:r>
        <w:rPr>
          <w:rStyle w:val="VerbatimChar"/>
        </w:rPr>
        <w:t xml:space="preserve">ne()</w:t>
      </w:r>
      <w:r>
        <w:t xml:space="preserve"> </w:t>
      </w:r>
      <w:r>
        <w:t xml:space="preserve">удобно использовать в условиях, где нужно проверить именно наличие непустого значения. Для проверки отсутствия поля или подполя в старых форматах также используется</w:t>
      </w:r>
      <w:r>
        <w:t xml:space="preserve"> </w:t>
      </w:r>
      <w:r>
        <w:rPr>
          <w:rStyle w:val="VerbatimChar"/>
        </w:rPr>
        <w:t xml:space="preserve">a()</w:t>
      </w:r>
      <w:r>
        <w:t xml:space="preserve">, но она решает обратную задачу и не заменяет проверку непустого содержимого.</w:t>
      </w:r>
    </w:p>
    <w:bookmarkEnd w:id="9"/>
    <w:bookmarkEnd w:id="10"/>
    <w:bookmarkStart w:id="17" w:name="назначение-модуля-format"/>
    <w:p>
      <w:pPr>
        <w:pStyle w:val="Heading2"/>
      </w:pPr>
      <w:r>
        <w:t xml:space="preserve">Назначение модуля Format</w:t>
      </w:r>
    </w:p>
    <w:p>
      <w:pPr>
        <w:pStyle w:val="FirstParagraph"/>
      </w:pPr>
      <w:r>
        <w:rPr>
          <w:rStyle w:val="VerbatimChar"/>
        </w:rPr>
        <w:t xml:space="preserve">Format</w:t>
      </w:r>
      <w:r>
        <w:t xml:space="preserve"> </w:t>
      </w:r>
      <w:r>
        <w:t xml:space="preserve">используется там, где системе нужно получить пользовательское представление записи: краткое и полное описание в электронном каталоге, фрагменты карточки, данные заявок, служебные блоки выдачи и другие HTML- или текстовые результаты.</w:t>
      </w:r>
    </w:p>
    <w:bookmarkStart w:id="11" w:name="основные-сценарии"/>
    <w:p>
      <w:pPr>
        <w:pStyle w:val="Heading3"/>
      </w:pPr>
      <w:r>
        <w:t xml:space="preserve">1. Основные сценарии</w:t>
      </w:r>
    </w:p>
    <w:p>
      <w:pPr>
        <w:pStyle w:val="Compact"/>
        <w:numPr>
          <w:ilvl w:val="0"/>
          <w:numId w:val="1001"/>
        </w:numPr>
      </w:pPr>
      <w:r>
        <w:t xml:space="preserve">выполнение PHP-формата</w:t>
      </w:r>
      <w:r>
        <w:t xml:space="preserve"> </w:t>
      </w:r>
      <w:r>
        <w:rPr>
          <w:rStyle w:val="VerbatimChar"/>
        </w:rPr>
        <w:t xml:space="preserve">.pft128</w:t>
      </w:r>
      <w:r>
        <w:t xml:space="preserve"> </w:t>
      </w:r>
      <w:r>
        <w:t xml:space="preserve">по имени через</w:t>
      </w:r>
      <w:r>
        <w:t xml:space="preserve"> </w:t>
      </w:r>
      <w:r>
        <w:rPr>
          <w:rStyle w:val="VerbatimChar"/>
        </w:rPr>
        <w:t xml:space="preserve">Fmt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выполнение формата с кешированием результата в записи через</w:t>
      </w:r>
      <w:r>
        <w:t xml:space="preserve"> </w:t>
      </w:r>
      <w:r>
        <w:rPr>
          <w:rStyle w:val="VerbatimChar"/>
        </w:rPr>
        <w:t xml:space="preserve">FmtC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преобразование ссылок</w:t>
      </w:r>
      <w:r>
        <w:t xml:space="preserve"> </w:t>
      </w:r>
      <w:r>
        <w:rPr>
          <w:rStyle w:val="VerbatimChar"/>
        </w:rPr>
        <w:t xml:space="preserve">IRBIS:...</w:t>
      </w:r>
      <w:r>
        <w:t xml:space="preserve"> </w:t>
      </w:r>
      <w:r>
        <w:t xml:space="preserve">в ссылки ИРБИС 128 через</w:t>
      </w:r>
      <w:r>
        <w:t xml:space="preserve"> </w:t>
      </w:r>
      <w:r>
        <w:rPr>
          <w:rStyle w:val="VerbatimChar"/>
        </w:rPr>
        <w:t xml:space="preserve">AF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выполнение PFT-формата ИРБИС 64 через</w:t>
      </w:r>
      <w:r>
        <w:t xml:space="preserve"> </w:t>
      </w:r>
      <w:r>
        <w:rPr>
          <w:rStyle w:val="VerbatimChar"/>
        </w:rPr>
        <w:t xml:space="preserve">Format64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хранение типовых форматов в</w:t>
      </w:r>
      <w:r>
        <w:t xml:space="preserve"> </w:t>
      </w:r>
      <w:r>
        <w:rPr>
          <w:rStyle w:val="VerbatimChar"/>
        </w:rPr>
        <w:t xml:space="preserve">modules/Format/formats</w:t>
      </w:r>
      <w:r>
        <w:t xml:space="preserve"> </w:t>
      </w:r>
      <w:r>
        <w:t xml:space="preserve">и форматах других модулей;</w:t>
      </w:r>
    </w:p>
    <w:p>
      <w:pPr>
        <w:pStyle w:val="Compact"/>
        <w:numPr>
          <w:ilvl w:val="0"/>
          <w:numId w:val="1001"/>
        </w:numPr>
      </w:pPr>
      <w:r>
        <w:t xml:space="preserve">регрессионное сравнение PHP-реализации PFT64 с внешним</w:t>
      </w:r>
      <w:r>
        <w:t xml:space="preserve"> </w:t>
      </w:r>
      <w:r>
        <w:rPr>
          <w:rStyle w:val="VerbatimChar"/>
        </w:rPr>
        <w:t xml:space="preserve">irbistool.exe</w:t>
      </w:r>
      <w:r>
        <w:t xml:space="preserve">.</w:t>
      </w:r>
    </w:p>
    <w:bookmarkEnd w:id="11"/>
    <w:bookmarkStart w:id="12" w:name="поиск-формата"/>
    <w:p>
      <w:pPr>
        <w:pStyle w:val="Heading3"/>
      </w:pPr>
      <w:r>
        <w:t xml:space="preserve">2. Поиск формата</w:t>
      </w:r>
    </w:p>
    <w:p>
      <w:pPr>
        <w:pStyle w:val="FirstParagraph"/>
      </w:pPr>
      <w:r>
        <w:rPr>
          <w:rStyle w:val="VerbatimChar"/>
        </w:rPr>
        <w:t xml:space="preserve">Fmt</w:t>
      </w:r>
      <w:r>
        <w:t xml:space="preserve"> </w:t>
      </w:r>
      <w:r>
        <w:t xml:space="preserve">сначала определяет хранилище формата. Если оно явно не передано, используется управляющий модуль записи или тип записи из поля</w:t>
      </w:r>
      <w:r>
        <w:t xml:space="preserve"> </w:t>
      </w:r>
      <w:r>
        <w:rPr>
          <w:rStyle w:val="VerbatimChar"/>
        </w:rPr>
        <w:t xml:space="preserve">920</w:t>
      </w:r>
      <w:r>
        <w:t xml:space="preserve">. Затем формат ищется в каталоге</w:t>
      </w:r>
      <w:r>
        <w:t xml:space="preserve"> </w:t>
      </w:r>
      <w:r>
        <w:rPr>
          <w:rStyle w:val="VerbatimChar"/>
        </w:rPr>
        <w:t xml:space="preserve">Formats</w:t>
      </w:r>
      <w:r>
        <w:t xml:space="preserve"> </w:t>
      </w:r>
      <w:r>
        <w:t xml:space="preserve">соответствующего модуля, с учетом пользовательского варианта</w:t>
      </w:r>
      <w:r>
        <w:t xml:space="preserve"> </w:t>
      </w:r>
      <w:r>
        <w:rPr>
          <w:rStyle w:val="VerbatimChar"/>
        </w:rPr>
        <w:t xml:space="preserve">.user</w:t>
      </w:r>
      <w:r>
        <w:t xml:space="preserve"> </w:t>
      </w:r>
      <w:r>
        <w:t xml:space="preserve">и варианта для текущего шаблона хоста. Если формат не найден, используется запасной сценарий через формат</w:t>
      </w:r>
      <w:r>
        <w:t xml:space="preserve"> </w:t>
      </w:r>
      <w:r>
        <w:rPr>
          <w:rStyle w:val="VerbatimChar"/>
        </w:rPr>
        <w:t xml:space="preserve">i64default</w:t>
      </w:r>
      <w:r>
        <w:t xml:space="preserve"> </w:t>
      </w:r>
      <w:r>
        <w:t xml:space="preserve">из</w:t>
      </w:r>
      <w:r>
        <w:t xml:space="preserve"> </w:t>
      </w:r>
      <w:r>
        <w:rPr>
          <w:rStyle w:val="VerbatimChar"/>
        </w:rPr>
        <w:t xml:space="preserve">I128F</w:t>
      </w:r>
      <w:r>
        <w:t xml:space="preserve">.</w:t>
      </w:r>
    </w:p>
    <w:bookmarkEnd w:id="12"/>
    <w:bookmarkStart w:id="14" w:name="php-реализация-pft64"/>
    <w:p>
      <w:pPr>
        <w:pStyle w:val="Heading3"/>
      </w:pPr>
      <w:r>
        <w:t xml:space="preserve">3. PHP-реализация PFT64</w:t>
      </w:r>
    </w:p>
    <w:p>
      <w:pPr>
        <w:pStyle w:val="FirstParagraph"/>
      </w:pPr>
      <w:r>
        <w:t xml:space="preserve">Функция</w:t>
      </w:r>
      <w:r>
        <w:t xml:space="preserve"> </w:t>
      </w:r>
      <w:r>
        <w:rPr>
          <w:rStyle w:val="VerbatimChar"/>
        </w:rPr>
        <w:t xml:space="preserve">Format64</w:t>
      </w:r>
      <w:r>
        <w:t xml:space="preserve"> </w:t>
      </w:r>
      <w:r>
        <w:t xml:space="preserve">загружает формат из базы ИРБИС или принимает текст формата, выполняет предварительную обработку, строит токены, AST и инструкции виртуальной машины. Скомпилированные инструкции кешируются по тексту формата. Для вложенных форматов используется общий контекст выполнения, переменные и глобальные команды.</w:t>
      </w:r>
    </w:p>
    <w:p>
      <w:pPr>
        <w:pStyle w:val="BodyText"/>
      </w:pPr>
      <w:r>
        <w:t xml:space="preserve">Подробное описание устройства, загрузки форматов и проверок совместимости см. в разделе</w:t>
      </w:r>
      <w:r>
        <w:t xml:space="preserve"> </w:t>
      </w:r>
      <w:hyperlink r:id="rId13">
        <w:r>
          <w:rPr>
            <w:rStyle w:val="Hyperlink"/>
          </w:rPr>
          <w:t xml:space="preserve">Нативный форматер ИРБИС 128</w:t>
        </w:r>
      </w:hyperlink>
      <w:r>
        <w:t xml:space="preserve">.</w:t>
      </w:r>
    </w:p>
    <w:bookmarkEnd w:id="14"/>
    <w:bookmarkStart w:id="15" w:name="служебные-страницы"/>
    <w:p>
      <w:pPr>
        <w:pStyle w:val="Heading3"/>
      </w:pPr>
      <w:r>
        <w:t xml:space="preserve">4. Служебные страницы</w:t>
      </w:r>
    </w:p>
    <w:p>
      <w:pPr>
        <w:pStyle w:val="FirstParagraph"/>
      </w:pPr>
      <w:r>
        <w:rPr>
          <w:rStyle w:val="VerbatimChar"/>
        </w:rPr>
        <w:t xml:space="preserve">Format/Test64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Format/TestUI</w:t>
      </w:r>
      <w:r>
        <w:t xml:space="preserve"> </w:t>
      </w:r>
      <w:r>
        <w:t xml:space="preserve">предназначены для разработческой проверки совместимости с форматером ИРБИС 64. Они обращаются к установленному</w:t>
      </w:r>
      <w:r>
        <w:t xml:space="preserve"> </w:t>
      </w:r>
      <w:r>
        <w:rPr>
          <w:rStyle w:val="VerbatimChar"/>
        </w:rPr>
        <w:t xml:space="preserve">irbistool.exe</w:t>
      </w:r>
      <w:r>
        <w:t xml:space="preserve">, сравнивают результат с PHP-реализацией и помогают локализовать расхождения.</w:t>
      </w:r>
    </w:p>
    <w:bookmarkEnd w:id="15"/>
    <w:bookmarkStart w:id="16" w:name="ограничения"/>
    <w:p>
      <w:pPr>
        <w:pStyle w:val="Heading3"/>
      </w:pPr>
      <w:r>
        <w:t xml:space="preserve">5. Ограничения</w:t>
      </w:r>
    </w:p>
    <w:p>
      <w:pPr>
        <w:pStyle w:val="FirstParagraph"/>
      </w:pPr>
      <w:r>
        <w:t xml:space="preserve">Модуль является инфраструктурным. Ошибки в нем влияют на электронный каталог, карточки записей, заявки, отображение файловых ссылок и другие места, где используются форматы. После изменений нужны не только Help-проверки, но и функциональная проверка ключевых форматов на реальных записях.</w:t>
      </w:r>
    </w:p>
    <w:bookmarkEnd w:id="16"/>
    <w:bookmarkEnd w:id="17"/>
    <w:bookmarkStart w:id="25" w:name="нативный-форматер-ирбис-128"/>
    <w:p>
      <w:pPr>
        <w:pStyle w:val="Heading2"/>
      </w:pPr>
      <w:r>
        <w:t xml:space="preserve">Нативный форматер ИРБИС 128</w:t>
      </w:r>
    </w:p>
    <w:p>
      <w:pPr>
        <w:pStyle w:val="FirstParagraph"/>
      </w:pPr>
      <w:r>
        <w:t xml:space="preserve">Нативный форматер модуля</w:t>
      </w:r>
      <w:r>
        <w:t xml:space="preserve"> </w:t>
      </w:r>
      <w:r>
        <w:rPr>
          <w:rStyle w:val="VerbatimChar"/>
        </w:rPr>
        <w:t xml:space="preserve">Format</w:t>
      </w:r>
      <w:r>
        <w:t xml:space="preserve"> </w:t>
      </w:r>
      <w:r>
        <w:t xml:space="preserve">выполняет PFT-форматы ИРБИС 64 средствами PHP внутри ИРБИС 128. Основная точка входа - функция</w:t>
      </w:r>
      <w:r>
        <w:t xml:space="preserve"> </w:t>
      </w:r>
      <w:r>
        <w:rPr>
          <w:rStyle w:val="VerbatimChar"/>
        </w:rPr>
        <w:t xml:space="preserve">Format64</w:t>
      </w:r>
      <w:r>
        <w:t xml:space="preserve">.</w:t>
      </w:r>
    </w:p>
    <w:p>
      <w:pPr>
        <w:pStyle w:val="BodyText"/>
      </w:pPr>
      <w:r>
        <w:t xml:space="preserve">Форматер нужен там, где системе требуется выполнить существующий PFT-формат ИРБИС 64 без внешнего вызова</w:t>
      </w:r>
      <w:r>
        <w:t xml:space="preserve"> </w:t>
      </w:r>
      <w:r>
        <w:rPr>
          <w:rStyle w:val="VerbatimChar"/>
        </w:rPr>
        <w:t xml:space="preserve">irbistool.exe</w:t>
      </w:r>
      <w:r>
        <w:t xml:space="preserve">: при формировании представлений записей, служебных HTML-фрагментов, результатов поиска и других текстовых блоков, которые строятся по данным записи.</w:t>
      </w:r>
    </w:p>
    <w:bookmarkStart w:id="18" w:name="вызов-format64"/>
    <w:p>
      <w:pPr>
        <w:pStyle w:val="Heading3"/>
      </w:pPr>
      <w:r>
        <w:t xml:space="preserve">1. Вызов Format64</w:t>
      </w:r>
    </w:p>
    <w:p>
      <w:pPr>
        <w:pStyle w:val="FirstParagraph"/>
      </w:pPr>
      <w:r>
        <w:t xml:space="preserve">Функция</w:t>
      </w:r>
      <w:r>
        <w:t xml:space="preserve"> </w:t>
      </w:r>
      <w:r>
        <w:rPr>
          <w:rStyle w:val="VerbatimChar"/>
        </w:rPr>
        <w:t xml:space="preserve">Format64</w:t>
      </w:r>
      <w:r>
        <w:t xml:space="preserve"> </w:t>
      </w:r>
      <w:r>
        <w:t xml:space="preserve">принимает:</w:t>
      </w:r>
    </w:p>
    <w:p>
      <w:pPr>
        <w:pStyle w:val="Compact"/>
        <w:numPr>
          <w:ilvl w:val="0"/>
          <w:numId w:val="1002"/>
        </w:numPr>
      </w:pPr>
      <w:r>
        <w:t xml:space="preserve">базу данных, из которой загружаются форматы;</w:t>
      </w:r>
    </w:p>
    <w:p>
      <w:pPr>
        <w:pStyle w:val="Compact"/>
        <w:numPr>
          <w:ilvl w:val="0"/>
          <w:numId w:val="1002"/>
        </w:numPr>
      </w:pPr>
      <w:r>
        <w:t xml:space="preserve">запись, в контексте которой выполняется формат;</w:t>
      </w:r>
    </w:p>
    <w:p>
      <w:pPr>
        <w:pStyle w:val="Compact"/>
        <w:numPr>
          <w:ilvl w:val="0"/>
          <w:numId w:val="1002"/>
        </w:numPr>
      </w:pPr>
      <w:r>
        <w:t xml:space="preserve">имя формата;</w:t>
      </w:r>
    </w:p>
    <w:p>
      <w:pPr>
        <w:pStyle w:val="Compact"/>
        <w:numPr>
          <w:ilvl w:val="0"/>
          <w:numId w:val="1002"/>
        </w:numPr>
      </w:pPr>
      <w:r>
        <w:t xml:space="preserve">необязательный текст формата;</w:t>
      </w:r>
    </w:p>
    <w:p>
      <w:pPr>
        <w:pStyle w:val="Compact"/>
        <w:numPr>
          <w:ilvl w:val="0"/>
          <w:numId w:val="1002"/>
        </w:numPr>
      </w:pPr>
      <w:r>
        <w:t xml:space="preserve">необязательные объекты контекста и виртуальной машины для вложенных вызовов.</w:t>
      </w:r>
    </w:p>
    <w:p>
      <w:pPr>
        <w:pStyle w:val="FirstParagraph"/>
      </w:pPr>
      <w:r>
        <w:t xml:space="preserve">Если текст формата передан напрямую, он используется как исходный PFT. Если текст пустой, форматер загружает формат по имени.</w:t>
      </w:r>
    </w:p>
    <w:bookmarkEnd w:id="18"/>
    <w:bookmarkStart w:id="19" w:name="загрузка-форматов"/>
    <w:p>
      <w:pPr>
        <w:pStyle w:val="Heading3"/>
      </w:pPr>
      <w:r>
        <w:t xml:space="preserve">2. Загрузка форматов</w:t>
      </w:r>
    </w:p>
    <w:p>
      <w:pPr>
        <w:pStyle w:val="FirstParagraph"/>
      </w:pPr>
      <w:r>
        <w:t xml:space="preserve">При загрузке по имени</w:t>
      </w:r>
      <w:r>
        <w:t xml:space="preserve"> </w:t>
      </w:r>
      <w:r>
        <w:rPr>
          <w:rStyle w:val="VerbatimChar"/>
        </w:rPr>
        <w:t xml:space="preserve">Format64</w:t>
      </w:r>
      <w:r>
        <w:t xml:space="preserve"> </w:t>
      </w:r>
      <w:r>
        <w:t xml:space="preserve">ищет файлы форматов в базе ИРБИС:</w:t>
      </w:r>
    </w:p>
    <w:p>
      <w:pPr>
        <w:pStyle w:val="Compact"/>
        <w:numPr>
          <w:ilvl w:val="0"/>
          <w:numId w:val="1003"/>
        </w:numPr>
      </w:pPr>
      <w:r>
        <w:t xml:space="preserve">сначала в каталоге базы данных (</w:t>
      </w:r>
      <w:r>
        <w:rPr>
          <w:rStyle w:val="VerbatimChar"/>
        </w:rPr>
        <w:t xml:space="preserve">apath = 10</w:t>
      </w:r>
      <w:r>
        <w:t xml:space="preserve">);</w:t>
      </w:r>
    </w:p>
    <w:p>
      <w:pPr>
        <w:pStyle w:val="Compact"/>
        <w:numPr>
          <w:ilvl w:val="0"/>
          <w:numId w:val="1003"/>
        </w:numPr>
      </w:pPr>
      <w:r>
        <w:t xml:space="preserve">затем в</w:t>
      </w:r>
      <w:r>
        <w:t xml:space="preserve"> </w:t>
      </w:r>
      <w:r>
        <w:rPr>
          <w:rStyle w:val="VerbatimChar"/>
        </w:rPr>
        <w:t xml:space="preserve">Deposit</w:t>
      </w:r>
      <w:r>
        <w:t xml:space="preserve"> </w:t>
      </w:r>
      <w:r>
        <w:t xml:space="preserve">(</w:t>
      </w:r>
      <w:r>
        <w:rPr>
          <w:rStyle w:val="VerbatimChar"/>
        </w:rPr>
        <w:t xml:space="preserve">apath = 11</w:t>
      </w:r>
      <w:r>
        <w:t xml:space="preserve">).</w:t>
      </w:r>
    </w:p>
    <w:p>
      <w:pPr>
        <w:pStyle w:val="FirstParagraph"/>
      </w:pPr>
      <w:r>
        <w:t xml:space="preserve">Если расширение не указано, проверяются варианты</w:t>
      </w:r>
      <w:r>
        <w:t xml:space="preserve"> </w:t>
      </w:r>
      <w:r>
        <w:rPr>
          <w:rStyle w:val="VerbatimChar"/>
        </w:rPr>
        <w:t xml:space="preserve">.pft</w:t>
      </w:r>
      <w:r>
        <w:t xml:space="preserve">,</w:t>
      </w:r>
      <w:r>
        <w:t xml:space="preserve"> </w:t>
      </w:r>
      <w:r>
        <w:rPr>
          <w:rStyle w:val="VerbatimChar"/>
        </w:rPr>
        <w:t xml:space="preserve">.opt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.fmt</w:t>
      </w:r>
      <w:r>
        <w:t xml:space="preserve">. Имя</w:t>
      </w:r>
      <w:r>
        <w:t xml:space="preserve"> </w:t>
      </w:r>
      <w:r>
        <w:rPr>
          <w:rStyle w:val="VerbatimChar"/>
        </w:rPr>
        <w:t xml:space="preserve">@</w:t>
      </w:r>
      <w:r>
        <w:t xml:space="preserve"> </w:t>
      </w:r>
      <w:r>
        <w:t xml:space="preserve">раскрывается в формат, заданный параметром</w:t>
      </w:r>
      <w:r>
        <w:t xml:space="preserve"> </w:t>
      </w:r>
      <w:r>
        <w:rPr>
          <w:rStyle w:val="VerbatimChar"/>
        </w:rPr>
        <w:t xml:space="preserve">PftOpt</w:t>
      </w:r>
      <w:r>
        <w:t xml:space="preserve"> </w:t>
      </w:r>
      <w:r>
        <w:t xml:space="preserve">базы, а при отсутствии такого параметра - в</w:t>
      </w:r>
      <w:r>
        <w:t xml:space="preserve"> </w:t>
      </w:r>
      <w:r>
        <w:rPr>
          <w:rStyle w:val="VerbatimChar"/>
        </w:rPr>
        <w:t xml:space="preserve">@pftw_h.opt</w:t>
      </w:r>
      <w:r>
        <w:t xml:space="preserve">.</w:t>
      </w:r>
    </w:p>
    <w:p>
      <w:pPr>
        <w:pStyle w:val="BodyText"/>
      </w:pPr>
      <w:r>
        <w:t xml:space="preserve">Файлы ИРБИС 64 читаются как</w:t>
      </w:r>
      <w:r>
        <w:t xml:space="preserve"> </w:t>
      </w:r>
      <w:r>
        <w:rPr>
          <w:rStyle w:val="VerbatimChar"/>
        </w:rPr>
        <w:t xml:space="preserve">CP1251</w:t>
      </w:r>
      <w:r>
        <w:t xml:space="preserve"> </w:t>
      </w:r>
      <w:r>
        <w:t xml:space="preserve">и перед выполнением переводятся в</w:t>
      </w:r>
      <w:r>
        <w:t xml:space="preserve"> </w:t>
      </w:r>
      <w:r>
        <w:rPr>
          <w:rStyle w:val="VerbatimChar"/>
        </w:rPr>
        <w:t xml:space="preserve">UTF-8</w:t>
      </w:r>
      <w:r>
        <w:t xml:space="preserve">.</w:t>
      </w:r>
    </w:p>
    <w:bookmarkEnd w:id="19"/>
    <w:bookmarkStart w:id="20" w:name="этапы-выполнения"/>
    <w:p>
      <w:pPr>
        <w:pStyle w:val="Heading3"/>
      </w:pPr>
      <w:r>
        <w:t xml:space="preserve">3. Этапы выполнения</w:t>
      </w:r>
    </w:p>
    <w:p>
      <w:pPr>
        <w:pStyle w:val="FirstParagraph"/>
      </w:pPr>
      <w:r>
        <w:t xml:space="preserve">Выполнение формата проходит несколько этапов:</w:t>
      </w:r>
    </w:p>
    <w:p>
      <w:pPr>
        <w:pStyle w:val="Compact"/>
        <w:numPr>
          <w:ilvl w:val="0"/>
          <w:numId w:val="1004"/>
        </w:numPr>
      </w:pPr>
      <w:r>
        <w:t xml:space="preserve">предварительная обработка текста формата;</w:t>
      </w:r>
    </w:p>
    <w:p>
      <w:pPr>
        <w:pStyle w:val="Compact"/>
        <w:numPr>
          <w:ilvl w:val="0"/>
          <w:numId w:val="1004"/>
        </w:numPr>
      </w:pPr>
      <w:r>
        <w:t xml:space="preserve">лексический разбор;</w:t>
      </w:r>
    </w:p>
    <w:p>
      <w:pPr>
        <w:pStyle w:val="Compact"/>
        <w:numPr>
          <w:ilvl w:val="0"/>
          <w:numId w:val="1004"/>
        </w:numPr>
      </w:pPr>
      <w:r>
        <w:t xml:space="preserve">построение AST;</w:t>
      </w:r>
    </w:p>
    <w:p>
      <w:pPr>
        <w:pStyle w:val="Compact"/>
        <w:numPr>
          <w:ilvl w:val="0"/>
          <w:numId w:val="1004"/>
        </w:numPr>
      </w:pPr>
      <w:r>
        <w:t xml:space="preserve">компиляция в инструкции виртуальной машины;</w:t>
      </w:r>
    </w:p>
    <w:p>
      <w:pPr>
        <w:pStyle w:val="Compact"/>
        <w:numPr>
          <w:ilvl w:val="0"/>
          <w:numId w:val="1004"/>
        </w:numPr>
      </w:pPr>
      <w:r>
        <w:t xml:space="preserve">выполнение инструкций в контексте записи.</w:t>
      </w:r>
    </w:p>
    <w:p>
      <w:pPr>
        <w:pStyle w:val="FirstParagraph"/>
      </w:pPr>
      <w:r>
        <w:t xml:space="preserve">Скомпилированные инструкции кешируются по тексту формата. При повторном выполнении того же текста форматер переиспользует кеш и выполняет уже готовый набор инструкций.</w:t>
      </w:r>
    </w:p>
    <w:bookmarkEnd w:id="20"/>
    <w:bookmarkStart w:id="21" w:name="контекст-выполнения"/>
    <w:p>
      <w:pPr>
        <w:pStyle w:val="Heading3"/>
      </w:pPr>
      <w:r>
        <w:t xml:space="preserve">4. Контекст выполнения</w:t>
      </w:r>
    </w:p>
    <w:p>
      <w:pPr>
        <w:pStyle w:val="FirstParagraph"/>
      </w:pPr>
      <w:r>
        <w:t xml:space="preserve">Контекст хранит текущую базу, запись, стек значений, переменные формата, глобальные данные</w:t>
      </w:r>
      <w:r>
        <w:t xml:space="preserve"> </w:t>
      </w:r>
      <w:r>
        <w:rPr>
          <w:rStyle w:val="VerbatimChar"/>
        </w:rPr>
        <w:t xml:space="preserve">gbl</w:t>
      </w:r>
      <w:r>
        <w:t xml:space="preserve">, режим вывода и состояние повторяющихся групп. Для вложенных форматов используется общий контекст, поэтому переменные, глобальные команды и текущая запись передаются согласованно.</w:t>
      </w:r>
    </w:p>
    <w:p>
      <w:pPr>
        <w:pStyle w:val="BodyText"/>
      </w:pPr>
      <w:r>
        <w:t xml:space="preserve">Для защиты от бесконечной рекурсии ограничена глубина вложенных вызовов формата. Также отслеживается загрузка уже загружаемых форматов: если формат снова запрашивает сам себя, повторная загрузка прерывается.</w:t>
      </w:r>
    </w:p>
    <w:bookmarkEnd w:id="21"/>
    <w:bookmarkStart w:id="22" w:name="поддерживаемые-конструкции"/>
    <w:p>
      <w:pPr>
        <w:pStyle w:val="Heading3"/>
      </w:pPr>
      <w:r>
        <w:t xml:space="preserve">5. Поддерживаемые конструкции</w:t>
      </w:r>
    </w:p>
    <w:p>
      <w:pPr>
        <w:pStyle w:val="FirstParagraph"/>
      </w:pPr>
      <w:r>
        <w:t xml:space="preserve">Реализация покрывает основные конструкции PFT-форматов ИРБИС 64:</w:t>
      </w:r>
    </w:p>
    <w:p>
      <w:pPr>
        <w:pStyle w:val="Compact"/>
        <w:numPr>
          <w:ilvl w:val="0"/>
          <w:numId w:val="1005"/>
        </w:numPr>
      </w:pPr>
      <w:r>
        <w:t xml:space="preserve">обращения к полям и подполям записи через команды</w:t>
      </w:r>
      <w:r>
        <w:t xml:space="preserve"> </w:t>
      </w:r>
      <w:r>
        <w:rPr>
          <w:rStyle w:val="VerbatimChar"/>
        </w:rPr>
        <w:t xml:space="preserve">v</w:t>
      </w:r>
      <w:r>
        <w:t xml:space="preserve">,</w:t>
      </w:r>
      <w:r>
        <w:t xml:space="preserve"> </w:t>
      </w:r>
      <w:r>
        <w:rPr>
          <w:rStyle w:val="VerbatimChar"/>
        </w:rPr>
        <w:t xml:space="preserve">d</w:t>
      </w:r>
      <w:r>
        <w:t xml:space="preserve">,</w:t>
      </w:r>
      <w:r>
        <w:t xml:space="preserve"> </w:t>
      </w:r>
      <w:r>
        <w:rPr>
          <w:rStyle w:val="VerbatimChar"/>
        </w:rPr>
        <w:t xml:space="preserve">n</w:t>
      </w:r>
      <w:r>
        <w:t xml:space="preserve">,</w:t>
      </w:r>
      <w:r>
        <w:t xml:space="preserve"> </w:t>
      </w:r>
      <w:r>
        <w:rPr>
          <w:rStyle w:val="VerbatimChar"/>
        </w:rPr>
        <w:t xml:space="preserve">g</w:t>
      </w:r>
      <w:r>
        <w:t xml:space="preserve">,</w:t>
      </w:r>
      <w:r>
        <w:t xml:space="preserve"> </w:t>
      </w:r>
      <w:r>
        <w:rPr>
          <w:rStyle w:val="VerbatimChar"/>
        </w:rPr>
        <w:t xml:space="preserve">o</w:t>
      </w:r>
      <w:r>
        <w:t xml:space="preserve">;</w:t>
      </w:r>
    </w:p>
    <w:p>
      <w:pPr>
        <w:pStyle w:val="Compact"/>
        <w:numPr>
          <w:ilvl w:val="0"/>
          <w:numId w:val="1005"/>
        </w:numPr>
      </w:pPr>
      <w:r>
        <w:t xml:space="preserve">литералы, повторяющиеся литералы, условные литералы и перевод строки;</w:t>
      </w:r>
    </w:p>
    <w:p>
      <w:pPr>
        <w:pStyle w:val="Compact"/>
        <w:numPr>
          <w:ilvl w:val="0"/>
          <w:numId w:val="1005"/>
        </w:numPr>
      </w:pPr>
      <w:r>
        <w:t xml:space="preserve">режимы вывода</w:t>
      </w:r>
      <w:r>
        <w:t xml:space="preserve"> </w:t>
      </w:r>
      <w:r>
        <w:rPr>
          <w:rStyle w:val="VerbatimChar"/>
        </w:rPr>
        <w:t xml:space="preserve">MDL</w:t>
      </w:r>
      <w:r>
        <w:t xml:space="preserve">,</w:t>
      </w:r>
      <w:r>
        <w:t xml:space="preserve"> </w:t>
      </w:r>
      <w:r>
        <w:rPr>
          <w:rStyle w:val="VerbatimChar"/>
        </w:rPr>
        <w:t xml:space="preserve">MDU</w:t>
      </w:r>
      <w:r>
        <w:t xml:space="preserve">,</w:t>
      </w:r>
      <w:r>
        <w:t xml:space="preserve"> </w:t>
      </w:r>
      <w:r>
        <w:rPr>
          <w:rStyle w:val="VerbatimChar"/>
        </w:rPr>
        <w:t xml:space="preserve">MHL</w:t>
      </w:r>
      <w:r>
        <w:t xml:space="preserve">,</w:t>
      </w:r>
      <w:r>
        <w:t xml:space="preserve"> </w:t>
      </w:r>
      <w:r>
        <w:rPr>
          <w:rStyle w:val="VerbatimChar"/>
        </w:rPr>
        <w:t xml:space="preserve">MHU</w:t>
      </w:r>
      <w:r>
        <w:t xml:space="preserve">,</w:t>
      </w:r>
      <w:r>
        <w:t xml:space="preserve"> </w:t>
      </w:r>
      <w:r>
        <w:rPr>
          <w:rStyle w:val="VerbatimChar"/>
        </w:rPr>
        <w:t xml:space="preserve">MPL</w:t>
      </w:r>
      <w:r>
        <w:t xml:space="preserve">,</w:t>
      </w:r>
      <w:r>
        <w:t xml:space="preserve"> </w:t>
      </w:r>
      <w:r>
        <w:rPr>
          <w:rStyle w:val="VerbatimChar"/>
        </w:rPr>
        <w:t xml:space="preserve">MPU</w:t>
      </w:r>
      <w:r>
        <w:t xml:space="preserve">;</w:t>
      </w:r>
    </w:p>
    <w:p>
      <w:pPr>
        <w:pStyle w:val="Compact"/>
        <w:numPr>
          <w:ilvl w:val="0"/>
          <w:numId w:val="1005"/>
        </w:numPr>
      </w:pPr>
      <w:r>
        <w:t xml:space="preserve">условные блоки</w:t>
      </w:r>
      <w:r>
        <w:t xml:space="preserve"> </w:t>
      </w:r>
      <w:r>
        <w:rPr>
          <w:rStyle w:val="VerbatimChar"/>
        </w:rPr>
        <w:t xml:space="preserve">if ... then ... else ... fi</w:t>
      </w:r>
      <w:r>
        <w:t xml:space="preserve">;</w:t>
      </w:r>
    </w:p>
    <w:p>
      <w:pPr>
        <w:pStyle w:val="Compact"/>
        <w:numPr>
          <w:ilvl w:val="0"/>
          <w:numId w:val="1005"/>
        </w:numPr>
      </w:pPr>
      <w:r>
        <w:t xml:space="preserve">циклы</w:t>
      </w:r>
      <w:r>
        <w:t xml:space="preserve"> </w:t>
      </w:r>
      <w:r>
        <w:rPr>
          <w:rStyle w:val="VerbatimChar"/>
        </w:rPr>
        <w:t xml:space="preserve">while ... do ... endwhile</w:t>
      </w:r>
      <w:r>
        <w:t xml:space="preserve">;</w:t>
      </w:r>
    </w:p>
    <w:p>
      <w:pPr>
        <w:pStyle w:val="Compact"/>
        <w:numPr>
          <w:ilvl w:val="0"/>
          <w:numId w:val="1005"/>
        </w:numPr>
      </w:pPr>
      <w:r>
        <w:t xml:space="preserve">выбор</w:t>
      </w:r>
      <w:r>
        <w:t xml:space="preserve"> </w:t>
      </w:r>
      <w:r>
        <w:rPr>
          <w:rStyle w:val="VerbatimChar"/>
        </w:rPr>
        <w:t xml:space="preserve">select ... case ... endsel</w:t>
      </w:r>
      <w:r>
        <w:t xml:space="preserve">;</w:t>
      </w:r>
    </w:p>
    <w:p>
      <w:pPr>
        <w:pStyle w:val="Compact"/>
        <w:numPr>
          <w:ilvl w:val="0"/>
          <w:numId w:val="1005"/>
        </w:numPr>
      </w:pPr>
      <w:r>
        <w:t xml:space="preserve">повторяющиеся группы;</w:t>
      </w:r>
    </w:p>
    <w:p>
      <w:pPr>
        <w:pStyle w:val="Compact"/>
        <w:numPr>
          <w:ilvl w:val="0"/>
          <w:numId w:val="1005"/>
        </w:numPr>
      </w:pPr>
      <w:r>
        <w:t xml:space="preserve">функции</w:t>
      </w:r>
      <w:r>
        <w:t xml:space="preserve"> </w:t>
      </w:r>
      <w:r>
        <w:rPr>
          <w:rStyle w:val="VerbatimChar"/>
        </w:rPr>
        <w:t xml:space="preserve">ref</w:t>
      </w:r>
      <w:r>
        <w:t xml:space="preserve">,</w:t>
      </w:r>
      <w:r>
        <w:t xml:space="preserve"> </w:t>
      </w:r>
      <w:r>
        <w:rPr>
          <w:rStyle w:val="VerbatimChar"/>
        </w:rPr>
        <w:t xml:space="preserve">val</w:t>
      </w:r>
      <w:r>
        <w:t xml:space="preserve">,</w:t>
      </w:r>
      <w:r>
        <w:t xml:space="preserve"> </w:t>
      </w:r>
      <w:r>
        <w:rPr>
          <w:rStyle w:val="VerbatimChar"/>
        </w:rPr>
        <w:t xml:space="preserve">rsum</w:t>
      </w:r>
      <w:r>
        <w:t xml:space="preserve">,</w:t>
      </w:r>
      <w:r>
        <w:t xml:space="preserve"> </w:t>
      </w:r>
      <w:r>
        <w:rPr>
          <w:rStyle w:val="VerbatimChar"/>
        </w:rPr>
        <w:t xml:space="preserve">ravr</w:t>
      </w:r>
      <w:r>
        <w:t xml:space="preserve">,</w:t>
      </w:r>
      <w:r>
        <w:t xml:space="preserve"> </w:t>
      </w:r>
      <w:r>
        <w:rPr>
          <w:rStyle w:val="VerbatimChar"/>
        </w:rPr>
        <w:t xml:space="preserve">rmin</w:t>
      </w:r>
      <w:r>
        <w:t xml:space="preserve">,</w:t>
      </w:r>
      <w:r>
        <w:t xml:space="preserve"> </w:t>
      </w:r>
      <w:r>
        <w:rPr>
          <w:rStyle w:val="VerbatimChar"/>
        </w:rPr>
        <w:t xml:space="preserve">rmax</w:t>
      </w:r>
      <w:r>
        <w:t xml:space="preserve">,</w:t>
      </w:r>
      <w:r>
        <w:t xml:space="preserve"> </w:t>
      </w:r>
      <w:r>
        <w:rPr>
          <w:rStyle w:val="VerbatimChar"/>
        </w:rPr>
        <w:t xml:space="preserve">s</w:t>
      </w:r>
      <w:r>
        <w:t xml:space="preserve">,</w:t>
      </w:r>
      <w:r>
        <w:t xml:space="preserve"> </w:t>
      </w:r>
      <w:r>
        <w:rPr>
          <w:rStyle w:val="VerbatimChar"/>
        </w:rPr>
        <w:t xml:space="preserve">mfn</w:t>
      </w:r>
      <w:r>
        <w:t xml:space="preserve">,</w:t>
      </w:r>
      <w:r>
        <w:t xml:space="preserve"> </w:t>
      </w:r>
      <w:r>
        <w:rPr>
          <w:rStyle w:val="VerbatimChar"/>
        </w:rPr>
        <w:t xml:space="preserve">tag</w:t>
      </w:r>
      <w:r>
        <w:t xml:space="preserve">;</w:t>
      </w:r>
    </w:p>
    <w:p>
      <w:pPr>
        <w:pStyle w:val="Compact"/>
        <w:numPr>
          <w:ilvl w:val="0"/>
          <w:numId w:val="1005"/>
        </w:numPr>
      </w:pPr>
      <w:r>
        <w:rPr>
          <w:rStyle w:val="VerbatimChar"/>
        </w:rPr>
        <w:t xml:space="preserve">&amp;uf</w:t>
      </w:r>
      <w:r>
        <w:t xml:space="preserve">/</w:t>
      </w:r>
      <w:r>
        <w:rPr>
          <w:rStyle w:val="VerbatimChar"/>
        </w:rPr>
        <w:t xml:space="preserve">&amp;unifor</w:t>
      </w:r>
      <w:r>
        <w:t xml:space="preserve"> </w:t>
      </w:r>
      <w:r>
        <w:t xml:space="preserve">и набор реализованных UNIFOR-команд;</w:t>
      </w:r>
    </w:p>
    <w:p>
      <w:pPr>
        <w:pStyle w:val="Compact"/>
        <w:numPr>
          <w:ilvl w:val="0"/>
          <w:numId w:val="1005"/>
        </w:numPr>
      </w:pPr>
      <w:r>
        <w:t xml:space="preserve">вложенные форматы через</w:t>
      </w:r>
      <w:r>
        <w:t xml:space="preserve"> </w:t>
      </w:r>
      <w:r>
        <w:rPr>
          <w:rStyle w:val="VerbatimChar"/>
        </w:rPr>
        <w:t xml:space="preserve">@...</w:t>
      </w:r>
      <w:r>
        <w:t xml:space="preserve">.</w:t>
      </w:r>
    </w:p>
    <w:p>
      <w:pPr>
        <w:pStyle w:val="FirstParagraph"/>
      </w:pPr>
      <w:r>
        <w:t xml:space="preserve">Перед выполнением форматер приводит некоторые специальные случаи к совместимому виду, например заменяет обращения вида</w:t>
      </w:r>
      <w:r>
        <w:t xml:space="preserve"> </w:t>
      </w:r>
      <w:r>
        <w:rPr>
          <w:rStyle w:val="VerbatimChar"/>
        </w:rPr>
        <w:t xml:space="preserve">v***</w:t>
      </w:r>
      <w:r>
        <w:t xml:space="preserve">,</w:t>
      </w:r>
      <w:r>
        <w:t xml:space="preserve"> </w:t>
      </w:r>
      <w:r>
        <w:rPr>
          <w:rStyle w:val="VerbatimChar"/>
        </w:rPr>
        <w:t xml:space="preserve">d***</w:t>
      </w:r>
      <w:r>
        <w:t xml:space="preserve">,</w:t>
      </w:r>
      <w:r>
        <w:t xml:space="preserve"> </w:t>
      </w:r>
      <w:r>
        <w:rPr>
          <w:rStyle w:val="VerbatimChar"/>
        </w:rPr>
        <w:t xml:space="preserve">n***</w:t>
      </w:r>
      <w:r>
        <w:t xml:space="preserve">,</w:t>
      </w:r>
      <w:r>
        <w:t xml:space="preserve"> </w:t>
      </w:r>
      <w:r>
        <w:rPr>
          <w:rStyle w:val="VerbatimChar"/>
        </w:rPr>
        <w:t xml:space="preserve">g***</w:t>
      </w:r>
      <w:r>
        <w:t xml:space="preserve">,</w:t>
      </w:r>
      <w:r>
        <w:t xml:space="preserve"> </w:t>
      </w:r>
      <w:r>
        <w:rPr>
          <w:rStyle w:val="VerbatimChar"/>
        </w:rPr>
        <w:t xml:space="preserve">o***</w:t>
      </w:r>
      <w:r>
        <w:t xml:space="preserve"> </w:t>
      </w:r>
      <w:r>
        <w:t xml:space="preserve">на поле</w:t>
      </w:r>
      <w:r>
        <w:t xml:space="preserve"> </w:t>
      </w:r>
      <w:r>
        <w:rPr>
          <w:rStyle w:val="VerbatimChar"/>
        </w:rPr>
        <w:t xml:space="preserve">920</w:t>
      </w:r>
      <w:r>
        <w:t xml:space="preserve">.</w:t>
      </w:r>
    </w:p>
    <w:bookmarkEnd w:id="22"/>
    <w:bookmarkStart w:id="23" w:name="служебные-проверки"/>
    <w:p>
      <w:pPr>
        <w:pStyle w:val="Heading3"/>
      </w:pPr>
      <w:r>
        <w:t xml:space="preserve">6. Служебные проверки</w:t>
      </w:r>
    </w:p>
    <w:p>
      <w:pPr>
        <w:pStyle w:val="FirstParagraph"/>
      </w:pPr>
      <w:r>
        <w:t xml:space="preserve">Для регрессионной проверки совместимости предусмотрены страницы:</w:t>
      </w:r>
    </w:p>
    <w:p>
      <w:pPr>
        <w:pStyle w:val="Compact"/>
        <w:numPr>
          <w:ilvl w:val="0"/>
          <w:numId w:val="1006"/>
        </w:numPr>
      </w:pPr>
      <w:r>
        <w:rPr>
          <w:rStyle w:val="VerbatimChar"/>
        </w:rPr>
        <w:t xml:space="preserve">Format/Test64</w:t>
      </w:r>
      <w:r>
        <w:t xml:space="preserve"> </w:t>
      </w:r>
      <w:r>
        <w:t xml:space="preserve">- пакетное сравнение результатов</w:t>
      </w:r>
      <w:r>
        <w:t xml:space="preserve"> </w:t>
      </w:r>
      <w:r>
        <w:rPr>
          <w:rStyle w:val="VerbatimChar"/>
        </w:rPr>
        <w:t xml:space="preserve">irbistool.exe format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Format64</w:t>
      </w:r>
      <w:r>
        <w:t xml:space="preserve"> </w:t>
      </w:r>
      <w:r>
        <w:t xml:space="preserve">по форматам выбранной базы;</w:t>
      </w:r>
    </w:p>
    <w:p>
      <w:pPr>
        <w:pStyle w:val="Compact"/>
        <w:numPr>
          <w:ilvl w:val="0"/>
          <w:numId w:val="1006"/>
        </w:numPr>
      </w:pPr>
      <w:r>
        <w:rPr>
          <w:rStyle w:val="VerbatimChar"/>
        </w:rPr>
        <w:t xml:space="preserve">Format/TestUI</w:t>
      </w:r>
      <w:r>
        <w:t xml:space="preserve"> </w:t>
      </w:r>
      <w:r>
        <w:t xml:space="preserve">- интерактивная проверка одного текста PFT на заданной базе и записи.</w:t>
      </w:r>
    </w:p>
    <w:p>
      <w:pPr>
        <w:pStyle w:val="FirstParagraph"/>
      </w:pPr>
      <w:r>
        <w:rPr>
          <w:rStyle w:val="VerbatimChar"/>
        </w:rPr>
        <w:t xml:space="preserve">Format/Test64</w:t>
      </w:r>
      <w:r>
        <w:t xml:space="preserve"> </w:t>
      </w:r>
      <w:r>
        <w:t xml:space="preserve">может проверять одну базу или все базы из каталога ИРБИС 64, пропускать отдельные проблемные конструкции и при расхождении показывать результат внешнего форматера, результат PHP-реализации, лог</w:t>
      </w:r>
      <w:r>
        <w:t xml:space="preserve"> </w:t>
      </w:r>
      <w:r>
        <w:rPr>
          <w:rStyle w:val="VerbatimChar"/>
        </w:rPr>
        <w:t xml:space="preserve">xpft_error.log</w:t>
      </w:r>
      <w:r>
        <w:t xml:space="preserve"> </w:t>
      </w:r>
      <w:r>
        <w:t xml:space="preserve">и минимизированный фрагмент формата для отладки.</w:t>
      </w:r>
    </w:p>
    <w:bookmarkEnd w:id="23"/>
    <w:bookmarkStart w:id="24" w:name="ограничения-1"/>
    <w:p>
      <w:pPr>
        <w:pStyle w:val="Heading3"/>
      </w:pPr>
      <w:r>
        <w:t xml:space="preserve">7. Ограничения</w:t>
      </w:r>
    </w:p>
    <w:p>
      <w:pPr>
        <w:pStyle w:val="FirstParagraph"/>
      </w:pPr>
      <w:r>
        <w:t xml:space="preserve">Нативный форматер является совместимой PHP-реализацией, но не заменяет обязательную регрессионную проверку после изменений. При доработке нужно сравнивать результат с внешним</w:t>
      </w:r>
      <w:r>
        <w:t xml:space="preserve"> </w:t>
      </w:r>
      <w:r>
        <w:rPr>
          <w:rStyle w:val="VerbatimChar"/>
        </w:rPr>
        <w:t xml:space="preserve">irbistool.exe</w:t>
      </w:r>
      <w:r>
        <w:t xml:space="preserve"> </w:t>
      </w:r>
      <w:r>
        <w:t xml:space="preserve">на реальных форматах и записях, особенно если формат использует редкие UNIFOR-команды, сложные повторяющиеся группы или вложенные форматы.</w:t>
      </w:r>
    </w:p>
    <w:p>
      <w:pPr>
        <w:pStyle w:val="BodyText"/>
      </w:pPr>
      <w:r>
        <w:t xml:space="preserve">Служебные страницы проверки предназначены для разработчиков и администраторов. Они требуют доступного</w:t>
      </w:r>
      <w:r>
        <w:t xml:space="preserve"> </w:t>
      </w:r>
      <w:r>
        <w:rPr>
          <w:rStyle w:val="VerbatimChar"/>
        </w:rPr>
        <w:t xml:space="preserve">irbistool.exe</w:t>
      </w:r>
      <w:r>
        <w:t xml:space="preserve">, корректного пути к установленному ИРБИС 64 и тестовых записей в проверяемых базах.</w:t>
      </w:r>
    </w:p>
    <w:bookmarkEnd w:id="24"/>
    <w:bookmarkEnd w:id="25"/>
    <w:bookmarkStart w:id="26" w:name="Xe87ada7ed68e456bccf867eafa60c5bf794bce0"/>
    <w:p>
      <w:pPr>
        <w:pStyle w:val="Heading2"/>
      </w:pPr>
      <w:r>
        <w:t xml:space="preserve">Повторная ссылка пропущена: Format/HelperFunctions</w:t>
      </w:r>
    </w:p>
    <w:bookmarkEnd w:id="26"/>
    <w:bookmarkEnd w:id="27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1"/>
  </w:num>
  <w:num w:numId="1006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3" Target="?id=Help/Show&amp;m=Format/Help/NativeFormatter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3" Target="?id=Help/Show&amp;m=Format/Help/NativeFormatter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Форматирование записей</dc:title>
  <dc:creator/>
  <cp:keywords/>
  <dcterms:created xsi:type="dcterms:W3CDTF">2026-08-30T22:05:23Z</dcterms:created>
  <dcterms:modified xsi:type="dcterms:W3CDTF">2026-08-30T22:05:23Z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