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Прочитать запись (C)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прочитать-запись-c"/>
    <w:p>
      <w:pPr>
        <w:pStyle w:val="Heading1"/>
      </w:pPr>
      <w:r>
        <w:t xml:space="preserve">Прочитать запись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из мастер-файла базы данных по MFN.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При успешном чтении возвращается запись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прочитана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</w:tbl>
    <w:bookmarkEnd w:id="10"/>
    <w:bookmarkStart w:id="11" w:name="комментарий"/>
    <w:p>
      <w:pPr>
        <w:pStyle w:val="Heading2"/>
      </w:pPr>
      <w:r>
        <w:t xml:space="preserve">3. Комментарий</w:t>
      </w:r>
    </w:p>
    <w:p>
      <w:pPr>
        <w:pStyle w:val="FirstParagraph"/>
      </w:pPr>
      <w:r>
        <w:t xml:space="preserve">В строке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передаются номер записи и статус записи. Дальше идут поля записи в формате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Прочитать запись (C)</dc:title>
  <dc:creator/>
  <cp:keywords/>
  <dcterms:created xsi:type="dcterms:W3CDTF">2026-10-18T18:17:51Z</dcterms:created>
  <dcterms:modified xsi:type="dcterms:W3CDTF">2026-10-18T18:17:51Z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