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RFID UNI в Linux-АРМах ИРБИС64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rfid-uni-в-linux-армах-ирбис64"/>
    <w:p>
      <w:pPr>
        <w:pStyle w:val="Heading1"/>
      </w:pPr>
      <w:r>
        <w:t xml:space="preserve">RFID UNI в Linux-АРМах ИРБИС64</w:t>
      </w:r>
    </w:p>
    <w:p>
      <w:pPr>
        <w:pStyle w:val="FirstParagraph"/>
      </w:pPr>
      <w:r>
        <w:t xml:space="preserve">Универсальный RFID-протокол используется в Linux-версиях клиентских АРМов ИРБИС64, когда рабочее место общается с RFID-оборудованием через локальное или сетевое ПО поставщика. Для этого режима в клиентском INI задается</w:t>
      </w:r>
      <w:r>
        <w:t xml:space="preserve"> </w:t>
      </w:r>
      <w:r>
        <w:rPr>
          <w:rStyle w:val="VerbatimChar"/>
        </w:rPr>
        <w:t xml:space="preserve">RFIDTYPE=4</w:t>
      </w:r>
      <w:r>
        <w:t xml:space="preserve">.</w:t>
      </w:r>
    </w:p>
    <w:p>
      <w:pPr>
        <w:pStyle w:val="BodyText"/>
      </w:pPr>
      <w:r>
        <w:t xml:space="preserve">Режим полезен для оборудования и промежуточного ПО ID Logic и Bibliotheca. Он позволяет Linux-клиентам работать с RFID на том же сервере ИРБИС64, где могут оставаться рабочие места Windows с собственными настройками.</w:t>
      </w:r>
    </w:p>
    <w:bookmarkStart w:id="9" w:name="где-включать"/>
    <w:p>
      <w:pPr>
        <w:pStyle w:val="Heading2"/>
      </w:pPr>
      <w:r>
        <w:t xml:space="preserve">1. Где включать</w:t>
      </w:r>
    </w:p>
    <w:p>
      <w:pPr>
        <w:pStyle w:val="FirstParagraph"/>
      </w:pPr>
      <w:r>
        <w:t xml:space="preserve">RFID включается в INI-файле соответствующего клиентского АРМа. Для АРМ «Книговыдача» типовой файл поставки называется</w:t>
      </w:r>
      <w:r>
        <w:t xml:space="preserve"> </w:t>
      </w:r>
      <w:r>
        <w:rPr>
          <w:rStyle w:val="VerbatimChar"/>
        </w:rPr>
        <w:t xml:space="preserve">irbisb.ini</w:t>
      </w:r>
      <w:r>
        <w:t xml:space="preserve">. В поставке ИРБИС 128 пример находится в</w:t>
      </w:r>
      <w:r>
        <w:t xml:space="preserve"> </w:t>
      </w:r>
      <w:r>
        <w:rPr>
          <w:rStyle w:val="VerbatimChar"/>
        </w:rPr>
        <w:t xml:space="preserve">modules/i128f/Distr/nix/server64-turbo/irbisb.ini</w:t>
      </w:r>
      <w:r>
        <w:t xml:space="preserve">; аналогичная заготовка для серверного модуля находится в</w:t>
      </w:r>
      <w:r>
        <w:t xml:space="preserve"> </w:t>
      </w:r>
      <w:r>
        <w:rPr>
          <w:rStyle w:val="VerbatimChar"/>
        </w:rPr>
        <w:t xml:space="preserve">modules/Server64/ARMsConfig/irbisb.ini</w:t>
      </w:r>
      <w:r>
        <w:t xml:space="preserve">.</w:t>
      </w:r>
    </w:p>
    <w:p>
      <w:pPr>
        <w:pStyle w:val="BodyText"/>
      </w:pPr>
      <w:r>
        <w:t xml:space="preserve">Минимальный фрагмент настройки:</w:t>
      </w:r>
    </w:p>
    <w:p>
      <w:pPr>
        <w:pStyle w:val="SourceCode"/>
      </w:pPr>
      <w:r>
        <w:rPr>
          <w:rStyle w:val="DataTypeTok"/>
        </w:rPr>
        <w:t xml:space="preserve">PRRFID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  <w:r>
        <w:br/>
      </w:r>
      <w:r>
        <w:rPr>
          <w:rStyle w:val="DataTypeTok"/>
        </w:rPr>
        <w:t xml:space="preserve">RFIDTYPE</w:t>
      </w:r>
      <w:r>
        <w:rPr>
          <w:rStyle w:val="OtherTok"/>
        </w:rPr>
        <w:t xml:space="preserve">=</w:t>
      </w:r>
      <w:r>
        <w:rPr>
          <w:rStyle w:val="DecValTok"/>
        </w:rPr>
        <w:t xml:space="preserve">4</w:t>
      </w:r>
      <w:r>
        <w:br/>
      </w:r>
      <w:r>
        <w:rPr>
          <w:rStyle w:val="DataTypeTok"/>
        </w:rPr>
        <w:t xml:space="preserve">RFID_UNI_INTERVAL</w:t>
      </w:r>
      <w:r>
        <w:rPr>
          <w:rStyle w:val="OtherTok"/>
        </w:rPr>
        <w:t xml:space="preserve">=</w:t>
      </w:r>
      <w:r>
        <w:rPr>
          <w:rStyle w:val="DecValTok"/>
        </w:rPr>
        <w:t xml:space="preserve">500</w:t>
      </w:r>
      <w:r>
        <w:br/>
      </w:r>
      <w:r>
        <w:rPr>
          <w:rStyle w:val="DataTypeTok"/>
        </w:rPr>
        <w:t xml:space="preserve">RFID_UNI_UID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  <w:r>
        <w:br/>
      </w:r>
      <w:r>
        <w:rPr>
          <w:rStyle w:val="DataTypeTok"/>
        </w:rPr>
        <w:t xml:space="preserve">RFID_UNI_ADDRESS</w:t>
      </w:r>
      <w:r>
        <w:rPr>
          <w:rStyle w:val="OtherTok"/>
        </w:rPr>
        <w:t xml:space="preserve">=</w:t>
      </w:r>
      <w:r>
        <w:rPr>
          <w:rStyle w:val="StringTok"/>
        </w:rPr>
        <w:t xml:space="preserve">127.0.0.1</w:t>
      </w:r>
      <w:r>
        <w:br/>
      </w:r>
      <w:r>
        <w:rPr>
          <w:rStyle w:val="DataTypeTok"/>
        </w:rPr>
        <w:t xml:space="preserve">RFID_UNI_PORT</w:t>
      </w:r>
      <w:r>
        <w:rPr>
          <w:rStyle w:val="OtherTok"/>
        </w:rPr>
        <w:t xml:space="preserve">=</w:t>
      </w:r>
      <w:r>
        <w:rPr>
          <w:rStyle w:val="DecValTok"/>
        </w:rPr>
        <w:t xml:space="preserve">6001</w:t>
      </w:r>
      <w:r>
        <w:br/>
      </w:r>
      <w:r>
        <w:rPr>
          <w:rStyle w:val="DataTypeTok"/>
        </w:rPr>
        <w:t xml:space="preserve">ConfirmMultiRFID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t xml:space="preserve">Если RFID-сервис поставщика запущен на том же рабочем месте, оставьте</w:t>
      </w:r>
      <w:r>
        <w:t xml:space="preserve"> </w:t>
      </w:r>
      <w:r>
        <w:rPr>
          <w:rStyle w:val="VerbatimChar"/>
        </w:rPr>
        <w:t xml:space="preserve">RFID_UNI_ADDRESS=127.0.0.1</w:t>
      </w:r>
      <w:r>
        <w:t xml:space="preserve">. Если сервис работает на другом доступном узле, укажите его адрес и порт в</w:t>
      </w:r>
      <w:r>
        <w:t xml:space="preserve"> </w:t>
      </w:r>
      <w:r>
        <w:rPr>
          <w:rStyle w:val="VerbatimChar"/>
        </w:rPr>
        <w:t xml:space="preserve">RFID_UNI_ADDRESS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RFID_UNI_PORT</w:t>
      </w:r>
      <w:r>
        <w:t xml:space="preserve">.</w:t>
      </w:r>
    </w:p>
    <w:bookmarkEnd w:id="9"/>
    <w:bookmarkStart w:id="10" w:name="основные-параметры"/>
    <w:p>
      <w:pPr>
        <w:pStyle w:val="Heading2"/>
      </w:pPr>
      <w:r>
        <w:t xml:space="preserve">2. Основные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PRRFID</w:t>
            </w:r>
          </w:p>
        </w:tc>
        <w:tc>
          <w:tcPr/>
          <w:p>
            <w:pPr>
              <w:pStyle w:val="Compact"/>
            </w:pPr>
            <w:r>
              <w:t xml:space="preserve">Включает работу с RFID-метками в клиентском АРМе. Для включенного сценария задайте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RFIDTYPE</w:t>
            </w:r>
          </w:p>
        </w:tc>
        <w:tc>
          <w:tcPr/>
          <w:p>
            <w:pPr>
              <w:pStyle w:val="Compact"/>
            </w:pPr>
            <w:r>
              <w:t xml:space="preserve">Выбирает тип RFID-оборудования.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 </w:t>
            </w:r>
            <w:r>
              <w:t xml:space="preserve">включает универсальный RFID-протокол UNI.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RFID_UNI_INTERVAL</w:t>
            </w:r>
          </w:p>
        </w:tc>
        <w:tc>
          <w:tcPr/>
          <w:p>
            <w:pPr>
              <w:pStyle w:val="Compact"/>
            </w:pPr>
            <w:r>
              <w:t xml:space="preserve">Интервал обращения клиента к RFID-сервису в миллисекундах.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RFID_UNI_UID</w:t>
            </w:r>
          </w:p>
        </w:tc>
        <w:tc>
          <w:tcPr/>
          <w:p>
            <w:pPr>
              <w:pStyle w:val="Compact"/>
            </w:pPr>
            <w:r>
              <w:t xml:space="preserve">Режим передачи идентификатора метки в универсальном протоколе. Значение должно соответствовать настройке ПО RFID-поставщика.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RFID_UNI_ADDRESS</w:t>
            </w:r>
          </w:p>
        </w:tc>
        <w:tc>
          <w:tcPr/>
          <w:p>
            <w:pPr>
              <w:pStyle w:val="Compact"/>
            </w:pPr>
            <w:r>
              <w:t xml:space="preserve">Адрес RFID-сервиса, с которым общается клиентский АРМ.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RFID_UNI_PORT</w:t>
            </w:r>
          </w:p>
        </w:tc>
        <w:tc>
          <w:tcPr/>
          <w:p>
            <w:pPr>
              <w:pStyle w:val="Compact"/>
            </w:pPr>
            <w:r>
              <w:t xml:space="preserve">TCP-порт RFID-сервиса. В типовой поставке используется</w:t>
            </w:r>
            <w:r>
              <w:t xml:space="preserve"> </w:t>
            </w:r>
            <w:r>
              <w:rPr>
                <w:rStyle w:val="VerbatimChar"/>
              </w:rPr>
              <w:t xml:space="preserve">6001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ConfirmMultiRFID</w:t>
            </w:r>
          </w:p>
        </w:tc>
        <w:tc>
          <w:tcPr/>
          <w:p>
            <w:pPr>
              <w:pStyle w:val="Compact"/>
            </w:pPr>
            <w:r>
              <w:t xml:space="preserve">Управляет подтверждением при чтении нескольких RFID-меток.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AUTOIN_RFID_BARCODE</w:t>
            </w:r>
          </w:p>
        </w:tc>
        <w:tc>
          <w:tcPr/>
          <w:p>
            <w:pPr>
              <w:pStyle w:val="Compact"/>
            </w:pPr>
            <w:r>
              <w:t xml:space="preserve">Определяет, должен ли авто ввод учитывать RFID-метку как штрихкод.</w:t>
            </w:r>
          </w:p>
        </w:tc>
      </w:tr>
    </w:tbl>
    <w:bookmarkEnd w:id="10"/>
    <w:bookmarkStart w:id="11" w:name="условия-на-рабочем-месте"/>
    <w:p>
      <w:pPr>
        <w:pStyle w:val="Heading2"/>
      </w:pPr>
      <w:r>
        <w:t xml:space="preserve">3. Условия на рабочем месте</w:t>
      </w:r>
    </w:p>
    <w:p>
      <w:pPr>
        <w:pStyle w:val="FirstParagraph"/>
      </w:pPr>
      <w:r>
        <w:t xml:space="preserve">На каждом Linux-рабочем месте должны быть установлены драйверы RFID-оборудования и запущено ПО, которое поддерживает UNI-обмен. Для ID Logic или Bibliotheca проверьте, что их сервис принимает соединения на адресе и порту, указанных в</w:t>
      </w:r>
      <w:r>
        <w:t xml:space="preserve"> </w:t>
      </w:r>
      <w:r>
        <w:rPr>
          <w:rStyle w:val="VerbatimChar"/>
        </w:rPr>
        <w:t xml:space="preserve">RFID_UNI_ADDRESS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RFID_UNI_PORT</w:t>
      </w:r>
      <w:r>
        <w:t xml:space="preserve">.</w:t>
      </w:r>
    </w:p>
    <w:p>
      <w:pPr>
        <w:pStyle w:val="BodyText"/>
      </w:pPr>
      <w:r>
        <w:t xml:space="preserve">Если клиентский АРМ открыт на одном компьютере, а RFID-сервис запущен на другом,</w:t>
      </w:r>
      <w:r>
        <w:t xml:space="preserve"> </w:t>
      </w:r>
      <w:r>
        <w:rPr>
          <w:rStyle w:val="VerbatimChar"/>
        </w:rPr>
        <w:t xml:space="preserve">127.0.0.1</w:t>
      </w:r>
      <w:r>
        <w:t xml:space="preserve"> </w:t>
      </w:r>
      <w:r>
        <w:t xml:space="preserve">будет указывать не на тот узел. В этом случае задайте сетевой адрес компьютера с RFID-сервисом и убедитесь, что порт доступен с рабочего места библиотекаря.</w:t>
      </w:r>
    </w:p>
    <w:bookmarkEnd w:id="11"/>
    <w:bookmarkStart w:id="12" w:name="проверка-настройки"/>
    <w:p>
      <w:pPr>
        <w:pStyle w:val="Heading2"/>
      </w:pPr>
      <w:r>
        <w:t xml:space="preserve">4. Проверка настройки</w:t>
      </w:r>
    </w:p>
    <w:p>
      <w:pPr>
        <w:pStyle w:val="FirstParagraph"/>
      </w:pPr>
      <w:r>
        <w:t xml:space="preserve">После изменения INI перезапустите клиентский АРМ и проверьте чтение одной RFID-метки. Если метка не читается:</w:t>
      </w:r>
    </w:p>
    <w:p>
      <w:pPr>
        <w:pStyle w:val="Compact"/>
        <w:numPr>
          <w:ilvl w:val="0"/>
          <w:numId w:val="1001"/>
        </w:numPr>
      </w:pPr>
      <w:r>
        <w:t xml:space="preserve">проверьте, что</w:t>
      </w:r>
      <w:r>
        <w:t xml:space="preserve"> </w:t>
      </w:r>
      <w:r>
        <w:rPr>
          <w:rStyle w:val="VerbatimChar"/>
        </w:rPr>
        <w:t xml:space="preserve">PRRFID=1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RFIDTYPE=4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проверьте адрес и порт RFID-сервиса;</w:t>
      </w:r>
    </w:p>
    <w:p>
      <w:pPr>
        <w:pStyle w:val="Compact"/>
        <w:numPr>
          <w:ilvl w:val="0"/>
          <w:numId w:val="1001"/>
        </w:numPr>
      </w:pPr>
      <w:r>
        <w:t xml:space="preserve">убедитесь, что ПО ID Logic или Bibliotheca запущено и видит оборудование;</w:t>
      </w:r>
    </w:p>
    <w:p>
      <w:pPr>
        <w:pStyle w:val="Compact"/>
        <w:numPr>
          <w:ilvl w:val="0"/>
          <w:numId w:val="1001"/>
        </w:numPr>
      </w:pPr>
      <w:r>
        <w:t xml:space="preserve">сравните режим UID в клиентском INI и в настройках RFID-сервиса;</w:t>
      </w:r>
    </w:p>
    <w:p>
      <w:pPr>
        <w:pStyle w:val="Compact"/>
        <w:numPr>
          <w:ilvl w:val="0"/>
          <w:numId w:val="1001"/>
        </w:numPr>
      </w:pPr>
      <w:r>
        <w:t xml:space="preserve">при нескольких метках проверьте поведение</w:t>
      </w:r>
      <w:r>
        <w:t xml:space="preserve"> </w:t>
      </w:r>
      <w:r>
        <w:rPr>
          <w:rStyle w:val="VerbatimChar"/>
        </w:rPr>
        <w:t xml:space="preserve">ConfirmMultiRFID</w:t>
      </w:r>
      <w:r>
        <w:t xml:space="preserve">.</w:t>
      </w:r>
    </w:p>
    <w:p>
      <w:pPr>
        <w:pStyle w:val="FirstParagraph"/>
      </w:pPr>
      <w:r>
        <w:t xml:space="preserve">Если Linux-клиент не получает ответ от RFID-сервиса, сначала проверьте доступность сервиса с этого рабочего места. Такая ошибка обычно связана с адресом, портом, локальным firewall или несовпадением протокольных настроек между АРМом и ПО RFID-поставщика.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RFID UNI в Linux-АРМах ИРБИС64</dc:title>
  <dc:creator/>
  <cp:keywords/>
  <dcterms:created xsi:type="dcterms:W3CDTF">2026-08-31T09:28:52Z</dcterms:created>
  <dcterms:modified xsi:type="dcterms:W3CDTF">2026-08-31T09:28:52Z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