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[I128-1899] Возможность отключения лога ошибок xpft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6de489a40dd547d47808e14a1f4602bde269d7"/>
    <w:p>
      <w:pPr>
        <w:pStyle w:val="Heading1"/>
      </w:pPr>
      <w:r>
        <w:t xml:space="preserve">[I128-1899] Возможность отключения лога ошибок xpft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07:27</w:t>
      </w:r>
    </w:p>
    <w:p>
      <w:pPr>
        <w:pStyle w:val="Compact"/>
        <w:numPr>
          <w:ilvl w:val="0"/>
          <w:numId w:val="1001"/>
        </w:numPr>
      </w:pPr>
      <w:r>
        <w:t xml:space="preserve">Параметр «{</w:t>
      </w:r>
      <w:r>
        <w:rPr>
          <w:b/>
          <w:bCs/>
        </w:rPr>
        <w:t xml:space="preserve">}XPFT</w:t>
      </w:r>
      <w:r>
        <w:rPr>
          <w:b/>
          <w:bCs/>
          <w:i/>
          <w:iCs/>
        </w:rPr>
        <w:t xml:space="preserve">NOERRORLOG{</w:t>
      </w:r>
      <w:r>
        <w:rPr>
          <w:b/>
          <w:b/>
          <w:bCs/>
          <w:bCs/>
          <w:i/>
          <w:iCs/>
        </w:rPr>
        <w:t xml:space="preserve">}» секции</w:t>
      </w:r>
      <w:r>
        <w:rPr>
          <w:b/>
          <w:b/>
          <w:bCs/>
          <w:bCs/>
          <w:i/>
          <w:iCs/>
        </w:rPr>
        <w:t xml:space="preserve"> </w:t>
      </w:r>
      <w:hyperlink r:id="rId9">
        <w:r>
          <w:rPr>
            <w:rStyle w:val="Hyperlink"/>
            <w:b/>
            <w:b/>
            <w:bCs/>
            <w:bCs/>
            <w:i/>
            <w:iCs/>
          </w:rPr>
          <w:t xml:space="preserve">MAIN</w:t>
        </w:r>
      </w:hyperlink>
      <w:r>
        <w:rPr>
          <w:b/>
          <w:b/>
          <w:bCs/>
          <w:bCs/>
          <w:i/>
          <w:iCs/>
        </w:rPr>
        <w:t xml:space="preserve"> </w:t>
      </w:r>
      <w:r>
        <w:rPr>
          <w:b/>
          <w:b/>
          <w:bCs/>
          <w:bCs/>
          <w:i/>
          <w:iCs/>
        </w:rPr>
        <w:t xml:space="preserve">или </w:t>
      </w:r>
      <w:r>
        <w:rPr>
          <w:b/>
          <w:bCs/>
          <w:i/>
          <w:iCs/>
        </w:rPr>
        <w:t xml:space="preserve">Xpft</w:t>
      </w:r>
      <w:r>
        <w:rPr>
          <w:b/>
          <w:bCs/>
        </w:rPr>
        <w:t xml:space="preserve">no</w:t>
      </w:r>
      <w:r>
        <w:rPr>
          <w:b/>
          <w:bCs/>
          <w:i/>
          <w:iCs/>
        </w:rPr>
        <w:t xml:space="preserve">error</w:t>
      </w:r>
      <w:r>
        <w:rPr>
          <w:b/>
          <w:bCs/>
        </w:rPr>
        <w:t xml:space="preserve">log отладка форматов обрабатываемых на клиенте</w:t>
      </w:r>
    </w:p>
    <w:p>
      <w:pPr>
        <w:pStyle w:val="Compact"/>
        <w:numPr>
          <w:ilvl w:val="0"/>
          <w:numId w:val="1001"/>
        </w:numPr>
      </w:pPr>
      <w:r>
        <w:t xml:space="preserve">Ini- файлах АРМов или irbis_server.ini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00"/>
    <w:p>
      <w:pPr>
        <w:pStyle w:val="Heading3"/>
      </w:pPr>
      <w:r>
        <w:t xml:space="preserve">1.1. 🔗 Соответствует задача: I128-1900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[I128-1900]</w:t>
        </w:r>
      </w:hyperlink>
      <w:r>
        <w:t xml:space="preserve"> </w:t>
      </w:r>
      <w:r>
        <w:t xml:space="preserve">Возможность отключения лога ошибок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900/README" TargetMode="External" /><Relationship Type="http://schemas.openxmlformats.org/officeDocument/2006/relationships/hyperlink" Id="rId9" Target="MAI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900/README" TargetMode="External" /><Relationship Type="http://schemas.openxmlformats.org/officeDocument/2006/relationships/hyperlink" Id="rId9" Target="MAI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[I128-1899] Возможность отключения лога ошибок xpft</dc:title>
  <dc:creator/>
  <cp:keywords/>
  <dcterms:created xsi:type="dcterms:W3CDTF">2026-08-29T15:41:46Z</dcterms:created>
  <dcterms:modified xsi:type="dcterms:W3CDTF">2026-08-29T15:41:46Z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