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[I128-2173] Поддержка ИРБИС-ссылок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173-поддержка-ирбис-ссылок"/>
    <w:p>
      <w:pPr>
        <w:pStyle w:val="Heading1"/>
      </w:pPr>
      <w:r>
        <w:t xml:space="preserve">[I128-2173] Поддержка ИРБИС-ссылок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02:08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из АРМ Каталогизаторе они вели также в АРМ Каталогизатор, а из арм читатель в арм читатель. из книговыдачи в книговыдачу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08"/>
    <w:p>
      <w:pPr>
        <w:pStyle w:val="Heading3"/>
      </w:pPr>
      <w:r>
        <w:t xml:space="preserve">1.1. 🔗 Соответствует задача: I128-1508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[I128-1508]</w:t>
        </w:r>
      </w:hyperlink>
      <w:r>
        <w:t xml:space="preserve"> </w:t>
      </w:r>
      <w:r>
        <w:t xml:space="preserve">Поддержка ИРБИС-ссылок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0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0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[I128-2173] Поддержка ИРБИС-ссылок</dc:title>
  <dc:creator/>
  <cp:keywords/>
  <dcterms:created xsi:type="dcterms:W3CDTF">2026-08-28T04:31:42Z</dcterms:created>
  <dcterms:modified xsi:type="dcterms:W3CDTF">2026-08-28T04:31:42Z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