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Бесшовная авторизация в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бесшовная-авторизация-в-эбс"/>
    <w:p>
      <w:pPr>
        <w:pStyle w:val="Heading1"/>
      </w:pPr>
      <w:r>
        <w:t xml:space="preserve">Бесшовная авторизация в ЭБС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в БД комплектования (</w:t>
      </w:r>
      <w:r>
        <w:rPr>
          <w:rStyle w:val="VerbatimChar"/>
        </w:rPr>
        <w:t xml:space="preserve">DBCMPL</w:t>
      </w:r>
      <w:r>
        <w:t xml:space="preserve">)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Эти записи используются для показа доступных ЭБС и формирования ссылок бесшовной авторизации для авторизованных пользователей.</w:t>
      </w:r>
    </w:p>
    <w:p>
      <w:pPr>
        <w:pStyle w:val="BodyText"/>
      </w:pPr>
      <w:r>
        <w:t xml:space="preserve">Для автоматического входа в ЭБС должны быть настроены:</w:t>
      </w:r>
    </w:p>
    <w:p>
      <w:pPr>
        <w:pStyle w:val="Compact"/>
        <w:numPr>
          <w:ilvl w:val="0"/>
          <w:numId w:val="1001"/>
        </w:numPr>
      </w:pPr>
      <w:r>
        <w:t xml:space="preserve">запись RSU в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связь библиографической записи каталога с номером RSU;</w:t>
      </w:r>
    </w:p>
    <w:p>
      <w:pPr>
        <w:pStyle w:val="Compact"/>
        <w:numPr>
          <w:ilvl w:val="0"/>
          <w:numId w:val="1001"/>
        </w:numPr>
      </w:pPr>
      <w:r>
        <w:t xml:space="preserve">индексы поиска по номеру RSU;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ALLOWAUTOLOGIN</w:t>
      </w:r>
      <w:r>
        <w:t xml:space="preserve"> </w:t>
      </w:r>
      <w:r>
        <w:t xml:space="preserve">на запись ресурса, если ссылка формируется по конкретной записи RSU;</w:t>
      </w:r>
    </w:p>
    <w:p>
      <w:pPr>
        <w:pStyle w:val="Compact"/>
        <w:numPr>
          <w:ilvl w:val="0"/>
          <w:numId w:val="1001"/>
        </w:numPr>
      </w:pPr>
      <w:r>
        <w:t xml:space="preserve">параметры ЭБС: тип API, токен, ID/PID, хост и даты действия доступа.</w:t>
      </w:r>
    </w:p>
    <w:bookmarkStart w:id="9" w:name="запись-rsu-в-бд-cmpl"/>
    <w:p>
      <w:pPr>
        <w:pStyle w:val="Heading2"/>
      </w:pPr>
      <w:r>
        <w:t xml:space="preserve">1. Запись RSU в БД CMPL</w:t>
      </w:r>
    </w:p>
    <w:p>
      <w:pPr>
        <w:pStyle w:val="FirstParagraph"/>
      </w:pPr>
      <w:r>
        <w:t xml:space="preserve">Запись ресурса должна иметь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При сохранении модуль добавляет служебные ключи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.</w:t>
      </w:r>
    </w:p>
    <w:p>
      <w:pPr>
        <w:pStyle w:val="BodyText"/>
      </w:pPr>
      <w:r>
        <w:t xml:space="preserve">Основные поля: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связи записи ресурса с библиографическими записями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секретный ключ, выданный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Хост/домен, от имени которого выполняется авторизация.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Описание ЭБС, выводимое в личном кабинете или списке ресурсов.</w:t>
            </w:r>
          </w:p>
        </w:tc>
      </w:tr>
    </w:tbl>
    <w:p>
      <w:pPr>
        <w:pStyle w:val="BodyText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нужен индекс связи по номеру RSU:</w:t>
      </w:r>
    </w:p>
    <w:p>
      <w:pPr>
        <w:pStyle w:val="SourceCode"/>
      </w:pPr>
      <w:r>
        <w:rPr>
          <w:rStyle w:val="VerbatimChar"/>
        </w:rPr>
        <w:t xml:space="preserve">881 0 if v920='RSU' then "RSU="v881^A fi/</w:t>
      </w:r>
    </w:p>
    <w:p>
      <w:pPr>
        <w:pStyle w:val="FirstParagraph"/>
      </w:pPr>
      <w:r>
        <w:t xml:space="preserve">Стандартный поиск всех записей RSU выполняется по запросу:</w:t>
      </w:r>
    </w:p>
    <w:p>
      <w:pPr>
        <w:pStyle w:val="SourceCode"/>
      </w:pPr>
      <w:r>
        <w:rPr>
          <w:rStyle w:val="VerbatimChar"/>
        </w:rPr>
        <w:t xml:space="preserve">"VD=RSU"</w:t>
      </w:r>
    </w:p>
    <w:bookmarkEnd w:id="9"/>
    <w:bookmarkStart w:id="10" w:name="связь-с-каталогом"/>
    <w:p>
      <w:pPr>
        <w:pStyle w:val="Heading2"/>
      </w:pPr>
      <w:r>
        <w:t xml:space="preserve">2. Связь с каталогом</w:t>
      </w:r>
    </w:p>
    <w:p>
      <w:pPr>
        <w:pStyle w:val="FirstParagraph"/>
      </w:pPr>
      <w:r>
        <w:t xml:space="preserve">В библиографической записи каталога связь с ресурсом хранится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U</w:t>
      </w:r>
      <w:r>
        <w:t xml:space="preserve">. В нем указывается номер сетевого ресурса RSU.</w:t>
      </w:r>
    </w:p>
    <w:p>
      <w:pPr>
        <w:pStyle w:val="BodyText"/>
      </w:pPr>
      <w:r>
        <w:t xml:space="preserve">Для каталога нужен индекс:</w:t>
      </w:r>
    </w:p>
    <w:p>
      <w:pPr>
        <w:pStyle w:val="SourceCode"/>
      </w:pPr>
      <w:r>
        <w:rPr>
          <w:rStyle w:val="VerbatimChar"/>
        </w:rPr>
        <w:t xml:space="preserve">951 0 (if p(v951) then |NRSU=|v951^U fi/)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ibis.ifs</w:t>
      </w:r>
      <w:r>
        <w:t xml:space="preserve"> </w:t>
      </w:r>
      <w:r>
        <w:t xml:space="preserve">используется аналогичное правило:</w:t>
      </w:r>
    </w:p>
    <w:p>
      <w:pPr>
        <w:pStyle w:val="SourceCode"/>
      </w:pPr>
      <w:r>
        <w:rPr>
          <w:rStyle w:val="VerbatimChar"/>
        </w:rPr>
        <w:t xml:space="preserve">951,951 0 (if p(v951) then |NRSU=|v951^U fi/)</w:t>
      </w:r>
    </w:p>
    <w:p>
      <w:pPr>
        <w:pStyle w:val="FirstParagraph"/>
      </w:pPr>
      <w:r>
        <w:t xml:space="preserve">При показе полного описания записи электронного каталога ссылка на внешний объект может быть заменена на URL бесшовной авторизации, если пользователь вошел в систему и запись связана с RSU через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.</w:t>
      </w:r>
    </w:p>
    <w:bookmarkEnd w:id="10"/>
    <w:bookmarkStart w:id="11" w:name="поддерживаемые-типы-api"/>
    <w:p>
      <w:pPr>
        <w:pStyle w:val="Heading2"/>
      </w:pPr>
      <w:r>
        <w:t xml:space="preserve">3. Поддерживаемые типы API</w:t>
      </w:r>
    </w:p>
    <w:p>
      <w:pPr>
        <w:pStyle w:val="FirstParagraph"/>
      </w:pPr>
      <w:r>
        <w:t xml:space="preserve">Тип API задается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. Текущий код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поддерживает следующие значения: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</w:p>
        </w:tc>
        <w:tc>
          <w:tcPr/>
          <w:p>
            <w:pPr>
              <w:pStyle w:val="Compact"/>
            </w:pPr>
            <w:r>
              <w:t xml:space="preserve">ЭБС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ibooks</w:t>
            </w:r>
          </w:p>
        </w:tc>
        <w:tc>
          <w:tcPr/>
          <w:p>
            <w:pPr>
              <w:pStyle w:val="Compact"/>
            </w:pPr>
            <w:r>
              <w:t xml:space="preserve">iBooks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iprbooks</w:t>
            </w:r>
          </w:p>
        </w:tc>
        <w:tc>
          <w:tcPr/>
          <w:p>
            <w:pPr>
              <w:pStyle w:val="Compact"/>
            </w:pPr>
            <w:r>
              <w:t xml:space="preserve">IPRBooks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biblioclub</w:t>
            </w:r>
          </w:p>
        </w:tc>
        <w:tc>
          <w:tcPr/>
          <w:p>
            <w:pPr>
              <w:pStyle w:val="Compact"/>
            </w:pPr>
            <w:r>
              <w:t xml:space="preserve">Университетская библиотека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</w:t>
            </w:r>
          </w:p>
        </w:tc>
        <w:tc>
          <w:tcPr/>
          <w:p>
            <w:pPr>
              <w:pStyle w:val="Compact"/>
            </w:pPr>
            <w:r>
              <w:t xml:space="preserve">BOOK.RU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grebennikov</w:t>
            </w:r>
          </w:p>
        </w:tc>
        <w:tc>
          <w:tcPr/>
          <w:p>
            <w:pPr>
              <w:pStyle w:val="Compact"/>
            </w:pPr>
            <w:r>
              <w:t xml:space="preserve">ИД Гребенников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polpred</w:t>
            </w:r>
          </w:p>
        </w:tc>
        <w:tc>
          <w:tcPr/>
          <w:p>
            <w:pPr>
              <w:pStyle w:val="Compact"/>
            </w:pPr>
            <w:r>
              <w:t xml:space="preserve">Polpred.com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urite</w:t>
            </w:r>
          </w:p>
        </w:tc>
        <w:tc>
          <w:tcPr/>
          <w:p>
            <w:pPr>
              <w:pStyle w:val="Compact"/>
            </w:pPr>
            <w:r>
              <w:t xml:space="preserve">ЮРАЙТ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znanium</w:t>
            </w:r>
          </w:p>
        </w:tc>
        <w:tc>
          <w:tcPr/>
          <w:p>
            <w:pPr>
              <w:pStyle w:val="Compact"/>
            </w:pPr>
            <w:r>
              <w:t xml:space="preserve">Znanium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</w:t>
            </w:r>
          </w:p>
        </w:tc>
        <w:tc>
          <w:tcPr/>
          <w:p>
            <w:pPr>
              <w:pStyle w:val="Compact"/>
            </w:pPr>
            <w:r>
              <w:t xml:space="preserve">Лань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lan2</w:t>
            </w:r>
          </w:p>
        </w:tc>
        <w:tc>
          <w:tcPr/>
          <w:p>
            <w:pPr>
              <w:pStyle w:val="Compact"/>
            </w:pPr>
            <w:r>
              <w:t xml:space="preserve">Лань, новый API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student</w:t>
            </w:r>
          </w:p>
        </w:tc>
        <w:tc>
          <w:tcPr/>
          <w:p>
            <w:pPr>
              <w:pStyle w:val="Compact"/>
            </w:pPr>
            <w:r>
              <w:t xml:space="preserve">Консультант студента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vrach</w:t>
            </w:r>
          </w:p>
        </w:tc>
        <w:tc>
          <w:tcPr/>
          <w:p>
            <w:pPr>
              <w:pStyle w:val="Compact"/>
            </w:pPr>
            <w:r>
              <w:t xml:space="preserve">Консультант врача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tntebook</w:t>
            </w:r>
          </w:p>
        </w:tc>
        <w:tc>
          <w:tcPr/>
          <w:p>
            <w:pPr>
              <w:pStyle w:val="Compact"/>
            </w:pPr>
            <w:r>
              <w:t xml:space="preserve">ТНТ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umczdt</w:t>
            </w:r>
          </w:p>
        </w:tc>
        <w:tc>
          <w:tcPr/>
          <w:p>
            <w:pPr>
              <w:pStyle w:val="Compact"/>
            </w:pPr>
            <w:r>
              <w:t xml:space="preserve">УМЦ ЖДТ</w:t>
            </w:r>
          </w:p>
        </w:tc>
      </w:tr>
    </w:tbl>
    <w:p>
      <w:pPr>
        <w:pStyle w:val="BodyText"/>
      </w:pPr>
      <w:r>
        <w:t xml:space="preserve">Если тип API не распознан, ссылка не формируется.</w:t>
      </w:r>
    </w:p>
    <w:bookmarkEnd w:id="11"/>
    <w:bookmarkStart w:id="12" w:name="данные-пользователя"/>
    <w:p>
      <w:pPr>
        <w:pStyle w:val="Heading2"/>
      </w:pPr>
      <w:r>
        <w:t xml:space="preserve">4. Данные пользователя</w:t>
      </w:r>
    </w:p>
    <w:p>
      <w:pPr>
        <w:pStyle w:val="FirstParagraph"/>
      </w:pPr>
      <w:r>
        <w:t xml:space="preserve">Для формирования ссылки используются данные текущего авторизованного пользователя из БД читателей: поля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</w:t>
      </w:r>
      <w:r>
        <w:t xml:space="preserve"> </w:t>
      </w:r>
      <w:r>
        <w:rPr>
          <w:rStyle w:val="VerbatimChar"/>
        </w:rPr>
        <w:t xml:space="preserve">23</w:t>
      </w:r>
      <w:r>
        <w:t xml:space="preserve">,</w:t>
      </w:r>
      <w:r>
        <w:t xml:space="preserve"> </w:t>
      </w:r>
      <w:r>
        <w:rPr>
          <w:rStyle w:val="VerbatimChar"/>
        </w:rPr>
        <w:t xml:space="preserve">30</w:t>
      </w:r>
      <w:r>
        <w:t xml:space="preserve">,</w:t>
      </w:r>
      <w:r>
        <w:t xml:space="preserve"> </w:t>
      </w:r>
      <w:r>
        <w:rPr>
          <w:rStyle w:val="VerbatimChar"/>
        </w:rPr>
        <w:t xml:space="preserve">32</w:t>
      </w:r>
      <w:r>
        <w:t xml:space="preserve">,</w:t>
      </w:r>
      <w:r>
        <w:t xml:space="preserve"> </w:t>
      </w:r>
      <w:r>
        <w:rPr>
          <w:rStyle w:val="VerbatimChar"/>
        </w:rPr>
        <w:t xml:space="preserve">50</w:t>
      </w:r>
      <w:r>
        <w:t xml:space="preserve">. Для некоторых ЭБС значение поля</w:t>
      </w:r>
      <w:r>
        <w:t xml:space="preserve"> </w:t>
      </w:r>
      <w:r>
        <w:rPr>
          <w:rStyle w:val="VerbatimChar"/>
        </w:rPr>
        <w:t xml:space="preserve">50</w:t>
      </w:r>
      <w:r>
        <w:t xml:space="preserve"> </w:t>
      </w:r>
      <w:r>
        <w:t xml:space="preserve">дополнительно нормализуется в категорию</w:t>
      </w:r>
      <w:r>
        <w:t xml:space="preserve"> </w:t>
      </w:r>
      <w:r>
        <w:rPr>
          <w:rStyle w:val="VerbatimChar"/>
        </w:rPr>
        <w:t xml:space="preserve">st</w:t>
      </w:r>
      <w:r>
        <w:t xml:space="preserve">,</w:t>
      </w:r>
      <w:r>
        <w:t xml:space="preserve"> </w:t>
      </w:r>
      <w:r>
        <w:rPr>
          <w:rStyle w:val="VerbatimChar"/>
        </w:rPr>
        <w:t xml:space="preserve">bib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pr</w:t>
      </w:r>
      <w:r>
        <w:t xml:space="preserve">.</w:t>
      </w:r>
    </w:p>
    <w:p>
      <w:pPr>
        <w:pStyle w:val="BodyText"/>
      </w:pPr>
      <w:r>
        <w:t xml:space="preserve">Если пользователь не вошел в систему, БД читателей или БД комплектования не открыта, модуль не сможет сформировать список доступных ЭБС или ссылку бесшовной авторизации.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Бесшовная авторизация в ЭБС</dc:title>
  <dc:creator/>
  <cp:keywords/>
  <dcterms:created xsi:type="dcterms:W3CDTF">2026-08-31T06:21:22Z</dcterms:created>
  <dcterms:modified xsi:type="dcterms:W3CDTF">2026-08-31T06:21:22Z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