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[I128-1627]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14c73cbba9a92f533fe5f3645e02e669d9587"/>
    <w:p>
      <w:pPr>
        <w:pStyle w:val="Heading1"/>
      </w:pPr>
      <w:r>
        <w:t xml:space="preserve">[I128-1627]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прозрачная авторизация из внешних систем: настройка ключей, параметры подписанной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способ входа через подписанную внешнюю ссылку.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 удалялись.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добавлено описание прозрачной авторизации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Документация объясняет, какие ключи задаются в настройках, какие параметры должна передавать внешняя система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параметры серверной проверки и не связан с новой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8"/>
    <w:p>
      <w:pPr>
        <w:pStyle w:val="Heading3"/>
      </w:pPr>
      <w:r>
        <w:t xml:space="preserve">1.1. 🔗 Соответствует задача: I128-1618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[I128-1618]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[I128-1627] Возможность прозрачной авторизации в ИРБИС 128</dc:title>
  <dc:creator/>
  <cp:keywords/>
  <dcterms:created xsi:type="dcterms:W3CDTF">2026-10-15T13:11:59Z</dcterms:created>
  <dcterms:modified xsi:type="dcterms:W3CDTF">2026-10-15T13:11:59Z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