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предоставляет системе единый слой работы с базами данных. Через него выполняются открытие БД, поиск, чтение и запись записей, форматирование, работа со словарем, глобальная корректировка, полнотекстовый поиск, служебные операции индексирования и получение файлов БД.</w:t>
      </w:r>
    </w:p>
    <w:p>
      <w:pPr>
        <w:pStyle w:val="BodyText"/>
      </w:pPr>
      <w:r>
        <w:t xml:space="preserve">Обычное чтение и сохранение записей через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не создает служебное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поле сохраняется, если уже присутствует в записи, но его создание и изменение относится к явным операциям подсистемы прав или доменных модулей. Подробнее см.</w:t>
      </w:r>
      <w:r>
        <w:t xml:space="preserve"> </w:t>
      </w:r>
      <w:hyperlink r:id="rId9">
        <w:r>
          <w:rPr>
            <w:rStyle w:val="Hyperlink"/>
          </w:rPr>
          <w:t xml:space="preserve">служебное поле 113</w:t>
        </w:r>
      </w:hyperlink>
      <w:r>
        <w:t xml:space="preserve">.</w:t>
      </w:r>
    </w:p>
    <w:p>
      <w:pPr>
        <w:pStyle w:val="BodyText"/>
      </w:pPr>
      <w:r>
        <w:t xml:space="preserve">Физический источник данных скрыт за провайдером данных. Для остальной системы база данных выглядит единообразно независимо от того, где реально находятся записи: в локальной БД ИРБИС, на сетевом сервере ИРБИС 64, во внешнем Web-каталоге или в логическом объединении нескольких БД.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Провайдеры данных</w:t>
            </w:r>
          </w:p>
        </w:tc>
      </w:tr>
    </w:tbl>
    <w:p>
      <w:pPr>
        <w:pStyle w:val="ImageCaption"/>
      </w:pPr>
      <w:r>
        <w:t xml:space="preserve">Провайдеры данных</w:t>
      </w:r>
    </w:p>
    <w:bookmarkStart w:id="10" w:name="открытие-бд"/>
    <w:p>
      <w:pPr>
        <w:pStyle w:val="Heading2"/>
      </w:pPr>
      <w:r>
        <w:t xml:space="preserve">1. Открытие БД</w:t>
      </w:r>
    </w:p>
    <w:p>
      <w:pPr>
        <w:pStyle w:val="FirstParagraph"/>
      </w:pPr>
      <w:r>
        <w:t xml:space="preserve">При открытии БД модуль читает INI-настройки базы и проверяет SID конфигурации провайдера в поле</w:t>
      </w:r>
      <w:r>
        <w:t xml:space="preserve"> </w:t>
      </w:r>
      <w:r>
        <w:rPr>
          <w:rStyle w:val="VerbatimChar"/>
        </w:rPr>
        <w:t xml:space="preserve">221^A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Если SID заполнен, параметры соединения провайдера берутся из связанной записи конфигурации, а имя БД на подключаемом сервере берется из</w:t>
      </w:r>
      <w:r>
        <w:t xml:space="preserve"> </w:t>
      </w:r>
      <w:r>
        <w:rPr>
          <w:rStyle w:val="VerbatimChar"/>
        </w:rPr>
        <w:t xml:space="preserve">221^B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 передается провайдеру как</w:t>
      </w:r>
      <w:r>
        <w:t xml:space="preserve"> </w:t>
      </w:r>
      <w:r>
        <w:rPr>
          <w:rStyle w:val="VerbatimChar"/>
        </w:rPr>
        <w:t xml:space="preserve">PROVIDER.DB</w:t>
      </w:r>
      <w:r>
        <w:t xml:space="preserve">. Если поле пусто, модуль читает секцию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из физического INI-файла БД и выполняет миграцию: для</w:t>
      </w:r>
      <w:r>
        <w:t xml:space="preserve"> </w:t>
      </w:r>
      <w:r>
        <w:rPr>
          <w:rStyle w:val="VerbatimChar"/>
        </w:rPr>
        <w:t xml:space="preserve">TYPE=Local</w:t>
      </w:r>
      <w:r>
        <w:t xml:space="preserve"> </w:t>
      </w:r>
      <w:r>
        <w:t xml:space="preserve">удаляет секцию и оставляет поле</w:t>
      </w:r>
      <w:r>
        <w:t xml:space="preserve"> </w:t>
      </w:r>
      <w:r>
        <w:rPr>
          <w:rStyle w:val="VerbatimChar"/>
        </w:rPr>
        <w:t xml:space="preserve">221</w:t>
      </w:r>
      <w:r>
        <w:t xml:space="preserve"> </w:t>
      </w:r>
      <w:r>
        <w:t xml:space="preserve">пустым, для остальных типов переносит</w:t>
      </w:r>
      <w:r>
        <w:t xml:space="preserve"> </w:t>
      </w:r>
      <w:r>
        <w:rPr>
          <w:rStyle w:val="VerbatimChar"/>
        </w:rPr>
        <w:t xml:space="preserve">PROVIDER.DB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221^B</w:t>
      </w:r>
      <w:r>
        <w:t xml:space="preserve">, создает или переиспользует typed-запись</w:t>
      </w:r>
      <w:r>
        <w:t xml:space="preserve"> </w:t>
      </w:r>
      <w:r>
        <w:rPr>
          <w:rStyle w:val="VerbatimChar"/>
        </w:rPr>
        <w:t xml:space="preserve">DP_&lt;TYPE&gt;</w:t>
      </w:r>
      <w:r>
        <w:t xml:space="preserve"> </w:t>
      </w:r>
      <w:r>
        <w:t xml:space="preserve">с параметрами соединения без</w:t>
      </w:r>
      <w:r>
        <w:t xml:space="preserve"> </w:t>
      </w:r>
      <w:r>
        <w:rPr>
          <w:rStyle w:val="VerbatimChar"/>
        </w:rPr>
        <w:t xml:space="preserve">DB</w:t>
      </w:r>
      <w:r>
        <w:t xml:space="preserve">, записывает ее SID в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 удаляет секцию из INI БД. Если нет ни SID в поле</w:t>
      </w:r>
      <w:r>
        <w:t xml:space="preserve"> </w:t>
      </w:r>
      <w:r>
        <w:rPr>
          <w:rStyle w:val="VerbatimChar"/>
        </w:rPr>
        <w:t xml:space="preserve">221^A</w:t>
      </w:r>
      <w:r>
        <w:t xml:space="preserve">, ни секции, используется</w:t>
      </w:r>
      <w:r>
        <w:t xml:space="preserve"> </w:t>
      </w:r>
      <w:r>
        <w:rPr>
          <w:rStyle w:val="VerbatimChar"/>
        </w:rPr>
        <w:t xml:space="preserve">Local</w:t>
      </w:r>
      <w:r>
        <w:t xml:space="preserve">.</w:t>
      </w:r>
    </w:p>
    <w:p>
      <w:pPr>
        <w:pStyle w:val="BodyText"/>
      </w:pPr>
      <w:r>
        <w:t xml:space="preserve">Если БД временно помечена как недоступная или провайдер не удалось инициализировать, открытие возвращает ошибку</w:t>
      </w:r>
      <w:r>
        <w:t xml:space="preserve"> </w:t>
      </w:r>
      <w:r>
        <w:rPr>
          <w:rStyle w:val="VerbatimChar"/>
        </w:rPr>
        <w:t xml:space="preserve">-109</w:t>
      </w:r>
      <w:r>
        <w:t xml:space="preserve">.</w:t>
      </w:r>
    </w:p>
    <w:bookmarkEnd w:id="10"/>
    <w:bookmarkStart w:id="13" w:name="настройка-бд"/>
    <w:p>
      <w:pPr>
        <w:pStyle w:val="Heading2"/>
      </w:pPr>
      <w:r>
        <w:t xml:space="preserve">2. Настройка БД</w:t>
      </w:r>
    </w:p>
    <w:p>
      <w:pPr>
        <w:pStyle w:val="FirstParagraph"/>
      </w:pPr>
      <w:r>
        <w:t xml:space="preserve">Записи баз данных администрируются как объекты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. В карточке БД доступны:</w:t>
      </w:r>
    </w:p>
    <w:p>
      <w:pPr>
        <w:pStyle w:val="Compact"/>
        <w:numPr>
          <w:ilvl w:val="0"/>
          <w:numId w:val="1001"/>
        </w:numPr>
      </w:pPr>
      <w:r>
        <w:t xml:space="preserve">наименование и описание БД;</w:t>
      </w:r>
    </w:p>
    <w:p>
      <w:pPr>
        <w:pStyle w:val="Compact"/>
        <w:numPr>
          <w:ilvl w:val="0"/>
          <w:numId w:val="1001"/>
        </w:numPr>
      </w:pPr>
      <w:r>
        <w:t xml:space="preserve">признак доступа только на чтение;</w:t>
      </w:r>
    </w:p>
    <w:p>
      <w:pPr>
        <w:pStyle w:val="Compact"/>
        <w:numPr>
          <w:ilvl w:val="0"/>
          <w:numId w:val="1001"/>
        </w:numPr>
      </w:pPr>
      <w:r>
        <w:t xml:space="preserve">признак БД с данными о пользователях;</w:t>
      </w:r>
    </w:p>
    <w:p>
      <w:pPr>
        <w:pStyle w:val="Compact"/>
        <w:numPr>
          <w:ilvl w:val="0"/>
          <w:numId w:val="1001"/>
        </w:numPr>
      </w:pPr>
      <w:r>
        <w:t xml:space="preserve">выбор записи конфигурации провайдера данных;</w:t>
      </w:r>
    </w:p>
    <w:p>
      <w:pPr>
        <w:pStyle w:val="Compact"/>
        <w:numPr>
          <w:ilvl w:val="0"/>
          <w:numId w:val="1001"/>
        </w:numPr>
      </w:pPr>
      <w:r>
        <w:t xml:space="preserve">имя БД на подключаемом сервере для выбранной конфигурации провайдера;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и актуализация словаря через очередь задач;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редактор схемы БД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кэшированных данных после изменения справочников, форматов и MNU-файлов.</w:t>
      </w:r>
    </w:p>
    <w:p>
      <w:pPr>
        <w:pStyle w:val="FirstParagraph"/>
      </w:pPr>
      <w:r>
        <w:t xml:space="preserve">Административные параметры провайдеров хранятся в typed-записях</w:t>
      </w:r>
      <w:r>
        <w:t xml:space="preserve"> </w:t>
      </w:r>
      <w:r>
        <w:rPr>
          <w:rStyle w:val="VerbatimChar"/>
        </w:rPr>
        <w:t xml:space="preserve">DP_&lt;TYPE&gt;</w:t>
      </w:r>
      <w:r>
        <w:t xml:space="preserve"> </w:t>
      </w:r>
      <w:r>
        <w:t xml:space="preserve">и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Базы данных и провайдеры данных</w:t>
        </w:r>
      </w:hyperlink>
      <w:r>
        <w:t xml:space="preserve">. Тип провайдера не хранится как отдельный параметр конфигурации: он вычисляется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этой записи.</w:t>
      </w:r>
      <w:r>
        <w:t xml:space="preserve"> </w:t>
      </w:r>
      <w:r>
        <w:t xml:space="preserve">В настройках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для этих записей есть раздел</w:t>
      </w:r>
      <w:r>
        <w:t xml:space="preserve"> </w:t>
      </w:r>
      <w:r>
        <w:rPr>
          <w:b/>
          <w:bCs/>
        </w:rPr>
        <w:t xml:space="preserve">Конфигурации провайдеров данных</w:t>
      </w:r>
      <w:r>
        <w:t xml:space="preserve"> </w:t>
      </w:r>
      <w:r>
        <w:t xml:space="preserve">с кнопками управления по доступным модулям</w:t>
      </w:r>
      <w:r>
        <w:t xml:space="preserve"> </w:t>
      </w:r>
      <w:r>
        <w:rPr>
          <w:rStyle w:val="VerbatimChar"/>
        </w:rPr>
        <w:t xml:space="preserve">DP_*</w:t>
      </w:r>
      <w:r>
        <w:t xml:space="preserve">. Каждая кнопка открывает список записей своего типа провайдера.</w:t>
      </w:r>
    </w:p>
    <w:bookmarkEnd w:id="13"/>
    <w:bookmarkStart w:id="14" w:name="служебные-параметры-записи-бд"/>
    <w:p>
      <w:pPr>
        <w:pStyle w:val="Heading2"/>
      </w:pPr>
      <w:r>
        <w:t xml:space="preserve">3. Служебные параметры записи БД</w:t>
      </w:r>
    </w:p>
    <w:p>
      <w:pPr>
        <w:pStyle w:val="FirstParagraph"/>
      </w:pPr>
      <w:r>
        <w:t xml:space="preserve">В системных настройках записи БД используются поисковые выражения и префиксы: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2^A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для вывода всех записей БД.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"V=$"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2^B</w:t>
            </w:r>
          </w:p>
        </w:tc>
        <w:tc>
          <w:tcPr/>
          <w:p>
            <w:pPr>
              <w:pStyle w:val="Compact"/>
            </w:pPr>
            <w:r>
              <w:t xml:space="preserve">Префикс поиска уникальной записи.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I=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2^C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типу записи.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V=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3^A</w:t>
            </w:r>
          </w:p>
        </w:tc>
        <w:tc>
          <w:tcPr/>
          <w:p>
            <w:pPr>
              <w:pStyle w:val="Compact"/>
            </w:pPr>
            <w:r>
              <w:t xml:space="preserve">Поле, где хранится идентификатор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3^B</w:t>
            </w:r>
          </w:p>
        </w:tc>
        <w:tc>
          <w:tcPr/>
          <w:p>
            <w:pPr>
              <w:pStyle w:val="Compact"/>
            </w:pPr>
            <w:r>
              <w:t xml:space="preserve">Подполе, где хранится идентификатор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221^A</w:t>
            </w:r>
          </w:p>
        </w:tc>
        <w:tc>
          <w:tcPr/>
          <w:p>
            <w:pPr>
              <w:pStyle w:val="Compact"/>
            </w:pPr>
            <w:r>
              <w:t xml:space="preserve">SID записи конфигурации провайдера данных. В редакторе БД поле выводится через выбор записи</w:t>
            </w:r>
            <w:r>
              <w:t xml:space="preserve"> </w:t>
            </w:r>
            <w:r>
              <w:rPr>
                <w:rStyle w:val="VerbatimChar"/>
              </w:rPr>
              <w:t xml:space="preserve">DP_*</w:t>
            </w:r>
            <w:r>
              <w:t xml:space="preserve">. Если поле пустое, провайдер считается локальным либо мигрируется из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INI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221^B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 Передается выбранному провайдеру как</w:t>
            </w:r>
            <w:r>
              <w:t xml:space="preserve"> </w:t>
            </w:r>
            <w:r>
              <w:rPr>
                <w:rStyle w:val="VerbatimChar"/>
              </w:rPr>
              <w:t xml:space="preserve">PROVIDER.DB</w:t>
            </w:r>
            <w:r>
              <w:t xml:space="preserve">; при миграции переносится из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INI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218^A</w:t>
            </w:r>
          </w:p>
        </w:tc>
        <w:tc>
          <w:tcPr/>
          <w:p>
            <w:pPr>
              <w:pStyle w:val="Compact"/>
            </w:pPr>
            <w:r>
              <w:t xml:space="preserve">Включение префиксной сортировки.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219</w:t>
            </w:r>
          </w:p>
        </w:tc>
        <w:tc>
          <w:tcPr/>
          <w:p>
            <w:pPr>
              <w:pStyle w:val="Compact"/>
            </w:pPr>
            <w:r>
              <w:t xml:space="preserve">Набор критериев сортировки: имя формата или префикс и отображаемое название.</w:t>
            </w:r>
          </w:p>
        </w:tc>
      </w:tr>
    </w:tbl>
    <w:p>
      <w:pPr>
        <w:pStyle w:val="BodyText"/>
      </w:pPr>
      <w:r>
        <w:t xml:space="preserve">После сохранения новой записи БД модуль создает БД через основной провайдер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сбрасывает кэш меню имен БД, чтобы новая база появилась в системных списках.</w:t>
      </w:r>
    </w:p>
    <w:bookmarkEnd w:id="14"/>
    <w:bookmarkStart w:id="15" w:name="импорт-из-внешних-систем"/>
    <w:p>
      <w:pPr>
        <w:pStyle w:val="Heading2"/>
      </w:pPr>
      <w:r>
        <w:t xml:space="preserve">4. Импорт из внешних систем</w:t>
      </w:r>
    </w:p>
    <w:p>
      <w:pPr>
        <w:pStyle w:val="FirstParagraph"/>
      </w:pPr>
      <w:r>
        <w:t xml:space="preserve">Если запись БД связана со сводным каталогом, в карточке появляются настройки импорта из внешних систем. Текущий код поддерживает запуск полной выгрузки через очередь задач для источников</w:t>
      </w:r>
      <w:r>
        <w:t xml:space="preserve"> </w:t>
      </w:r>
      <w:r>
        <w:rPr>
          <w:rStyle w:val="VerbatimChar"/>
        </w:rPr>
        <w:t xml:space="preserve">MarcWeb2</w:t>
      </w:r>
      <w:r>
        <w:t xml:space="preserve">,</w:t>
      </w:r>
      <w:r>
        <w:t xml:space="preserve"> </w:t>
      </w:r>
      <w:r>
        <w:rPr>
          <w:rStyle w:val="VerbatimChar"/>
        </w:rPr>
        <w:t xml:space="preserve">MegaPro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Ruslan ZGate</w:t>
      </w:r>
      <w:r>
        <w:t xml:space="preserve">. Перед запуском нужно учитывать предупреждение интерфейса: импорт может полностью перезаписать данные целевой БД.</w:t>
      </w:r>
    </w:p>
    <w:bookmarkEnd w:id="15"/>
    <w:bookmarkStart w:id="16" w:name="дополнительные-разделы"/>
    <w:p>
      <w:pPr>
        <w:pStyle w:val="Heading2"/>
      </w:pPr>
      <w:r>
        <w:t xml:space="preserve">5. Дополнительные разделы</w:t>
      </w:r>
    </w:p>
    <w:bookmarkEnd w:id="16"/>
    <w:bookmarkStart w:id="23" w:name="импорт-записей-из-папки-cdsisis"/>
    <w:p>
      <w:pPr>
        <w:pStyle w:val="Heading2"/>
      </w:pPr>
      <w:r>
        <w:t xml:space="preserve">Импорт записей из папки CDS/ISIS</w:t>
      </w:r>
    </w:p>
    <w:p>
      <w:pPr>
        <w:pStyle w:val="FirstParagraph"/>
      </w:pPr>
      <w:r>
        <w:rPr>
          <w:rStyle w:val="VerbatimChar"/>
        </w:rPr>
        <w:t xml:space="preserve">Database::ImportFromCdsIsisFolder()</w:t>
      </w:r>
      <w:r>
        <w:t xml:space="preserve"> </w:t>
      </w:r>
      <w:r>
        <w:t xml:space="preserve">импортирует записи из файловой базы CDS/ISIS в базу данных ИРБИС 128. Функция вызывается у объекта целевой БД, полученного через</w:t>
      </w:r>
      <w:r>
        <w:t xml:space="preserve"> </w:t>
      </w:r>
      <w:r>
        <w:rPr>
          <w:rStyle w:val="VerbatimChar"/>
        </w:rPr>
        <w:t xml:space="preserve">UseModule('i128f')-&gt;GetDb()</w:t>
      </w:r>
      <w:r>
        <w:t xml:space="preserve">.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)-&gt;GetDb(</w:t>
      </w:r>
      <w:r>
        <w:rPr>
          <w:rStyle w:val="StringTok"/>
        </w:rPr>
        <w:t xml:space="preserve">'RKP1924'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</w:t>
      </w:r>
      <w:r>
        <w:rPr>
          <w:rStyle w:val="KeywordTok"/>
        </w:rPr>
        <w:t xml:space="preserve">Empty</w:t>
      </w:r>
      <w:r>
        <w:rPr>
          <w:rStyle w:val="NormalTok"/>
        </w:rPr>
        <w:t xml:space="preserve">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StringTok"/>
        </w:rPr>
        <w:t xml:space="preserve">"C: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ISIS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DATA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1924"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'umarciw'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-&gt;RecIfUpdateComplete()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целевая БД</w:t>
      </w:r>
      <w:r>
        <w:t xml:space="preserve"> </w:t>
      </w:r>
      <w:r>
        <w:rPr>
          <w:rStyle w:val="VerbatimChar"/>
        </w:rPr>
        <w:t xml:space="preserve">RKP1924</w:t>
      </w:r>
      <w:r>
        <w:t xml:space="preserve"> </w:t>
      </w:r>
      <w:r>
        <w:t xml:space="preserve">предварительно очищается, затем в нее импортируются записи из папки</w:t>
      </w:r>
      <w:r>
        <w:t xml:space="preserve"> </w:t>
      </w:r>
      <w:r>
        <w:rPr>
          <w:rStyle w:val="VerbatimChar"/>
        </w:rPr>
        <w:t xml:space="preserve">C:\ISIS\DATA\1924</w:t>
      </w:r>
      <w:r>
        <w:t xml:space="preserve">, а после загрузки выполняется актуализация словаря. Функция импорта сама не очищает целевую БД и не запускает актуализацию словаря; эти действия нужно явно выполнить в вызывающем коде, если они требуются для сценария переноса.</w:t>
      </w:r>
    </w:p>
    <w:bookmarkStart w:id="17" w:name="входные-данные"/>
    <w:p>
      <w:pPr>
        <w:pStyle w:val="Heading3"/>
      </w:pPr>
      <w:r>
        <w:t xml:space="preserve">1. Входные данные</w:t>
      </w:r>
    </w:p>
    <w:p>
      <w:pPr>
        <w:pStyle w:val="FirstParagraph"/>
      </w:pPr>
      <w:r>
        <w:t xml:space="preserve">Папка CDS/ISIS должна быть доступна серверному PHP-процессу и содержать обязательные файлы данных: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Файл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.mst</w:t>
            </w:r>
          </w:p>
        </w:tc>
        <w:tc>
          <w:tcPr/>
          <w:p>
            <w:pPr>
              <w:pStyle w:val="Compact"/>
            </w:pPr>
            <w:r>
              <w:t xml:space="preserve">master-файл с записями CDS/ISIS.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.xrf</w:t>
            </w:r>
          </w:p>
        </w:tc>
        <w:tc>
          <w:tcPr/>
          <w:p>
            <w:pPr>
              <w:pStyle w:val="Compact"/>
            </w:pPr>
            <w:r>
              <w:t xml:space="preserve">cross-reference-файл с адресами записей в master-файле.</w:t>
            </w:r>
          </w:p>
        </w:tc>
      </w:tr>
    </w:tbl>
    <w:p>
      <w:pPr>
        <w:pStyle w:val="BodyText"/>
      </w:pPr>
      <w:r>
        <w:t xml:space="preserve">Имена файлов могут быть произвольными, проверяется расширение. Регистр расширения не важен. Если папка не найдена, отсутствует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файл не открывается или структура записи не совпадает с ожидаемой, функция возвращает код ошибки.</w:t>
      </w:r>
    </w:p>
    <w:p>
      <w:pPr>
        <w:pStyle w:val="BodyText"/>
      </w:pPr>
      <w:r>
        <w:t xml:space="preserve">Текстовые значения записей преобразуются из</w:t>
      </w:r>
      <w:r>
        <w:t xml:space="preserve"> </w:t>
      </w:r>
      <w:r>
        <w:rPr>
          <w:rStyle w:val="VerbatimChar"/>
        </w:rPr>
        <w:t xml:space="preserve">cp866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 Подполя CDS/ISIS передаются в запись ИРБИС 128 с разделителем</w:t>
      </w:r>
      <w:r>
        <w:t xml:space="preserve"> </w:t>
      </w:r>
      <w:r>
        <w:rPr>
          <w:rStyle w:val="VerbatimChar"/>
        </w:rPr>
        <w:t xml:space="preserve">^</w:t>
      </w:r>
      <w:r>
        <w:t xml:space="preserve">.</w:t>
      </w:r>
    </w:p>
    <w:bookmarkEnd w:id="17"/>
    <w:bookmarkStart w:id="18" w:name="параметры"/>
    <w:p>
      <w:pPr>
        <w:pStyle w:val="Heading3"/>
      </w:pPr>
      <w:r>
        <w:t xml:space="preserve">2. Параметры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$path</w:t>
            </w:r>
          </w:p>
        </w:tc>
        <w:tc>
          <w:tcPr/>
          <w:p>
            <w:pPr>
              <w:pStyle w:val="Compact"/>
            </w:pPr>
            <w:r>
              <w:t xml:space="preserve">Путь к папке CDS/ISIS с файлами</w:t>
            </w:r>
            <w:r>
              <w:t xml:space="preserve"> </w:t>
            </w:r>
            <w:r>
              <w:rPr>
                <w:rStyle w:val="VerbatimChar"/>
              </w:rPr>
              <w:t xml:space="preserve">.mst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.xrf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$fst</w:t>
            </w:r>
          </w:p>
        </w:tc>
        <w:tc>
          <w:tcPr/>
          <w:p>
            <w:pPr>
              <w:pStyle w:val="Compact"/>
            </w:pPr>
            <w:r>
              <w:t xml:space="preserve">Имя FST-преобразования для последующего импорта через</w:t>
            </w:r>
            <w:r>
              <w:t xml:space="preserve"> </w:t>
            </w:r>
            <w:r>
              <w:rPr>
                <w:rStyle w:val="VerbatimChar"/>
              </w:rPr>
              <w:t xml:space="preserve">ImportFromFile()</w:t>
            </w:r>
            <w:r>
              <w:t xml:space="preserve">. Если параметр пустой, записи передаются без явного FST.</w:t>
            </w:r>
          </w:p>
        </w:tc>
      </w:tr>
    </w:tbl>
    <w:p>
      <w:pPr>
        <w:pStyle w:val="BodyText"/>
      </w:pPr>
      <w:r>
        <w:t xml:space="preserve">Функция сначала читает записи из CDS/ISIS и сохраняет их во временный текстовый файл в формате IRBIS text. Имя файла строится из имени целевой БД и текущего времени в каталоге данных системы. После этого временный файл передается в</w:t>
      </w:r>
      <w:r>
        <w:t xml:space="preserve"> </w:t>
      </w:r>
      <w:r>
        <w:rPr>
          <w:rStyle w:val="VerbatimChar"/>
        </w:rPr>
        <w:t xml:space="preserve">ImportFromFile()</w:t>
      </w:r>
      <w:r>
        <w:t xml:space="preserve">.</w:t>
      </w:r>
    </w:p>
    <w:bookmarkEnd w:id="18"/>
    <w:bookmarkStart w:id="19" w:name="результат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При успешном чтении функция возвращает количество записей, считанных из CDS/ISIS. Возвращаемое значение не включает управляющую запись CDS/ISIS.</w:t>
      </w:r>
    </w:p>
    <w:p>
      <w:pPr>
        <w:pStyle w:val="BodyText"/>
      </w:pPr>
      <w:r>
        <w:t xml:space="preserve">При ошибке возвращается код исключения чтения: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Ситуация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Не найдена папка, не найден обязательный файл, файл не открылся или данные повреждены.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-608</w:t>
            </w:r>
          </w:p>
        </w:tc>
        <w:tc>
          <w:tcPr/>
          <w:p>
            <w:pPr>
              <w:pStyle w:val="Compact"/>
            </w:pPr>
            <w:r>
              <w:t xml:space="preserve">Встречена логически удаленная запись.</w:t>
            </w:r>
          </w:p>
        </w:tc>
      </w:tr>
    </w:tbl>
    <w:p>
      <w:pPr>
        <w:pStyle w:val="BodyText"/>
      </w:pPr>
      <w:r>
        <w:t xml:space="preserve">Если нужно полностью заменить содержимое целевой БД, перед импортом вызовите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. Если после импорта требуется поиск по новым записям, после загрузки вызовите</w:t>
      </w:r>
      <w:r>
        <w:t xml:space="preserve"> </w:t>
      </w:r>
      <w:r>
        <w:rPr>
          <w:rStyle w:val="VerbatimChar"/>
        </w:rPr>
        <w:t xml:space="preserve">RecIfUpdateComplete()</w:t>
      </w:r>
      <w:r>
        <w:t xml:space="preserve"> </w:t>
      </w:r>
      <w:r>
        <w:t xml:space="preserve">или другой подходящий сценарий актуализации словаря.</w:t>
      </w:r>
    </w:p>
    <w:bookmarkEnd w:id="19"/>
    <w:bookmarkStart w:id="22" w:name="связанные-разделы"/>
    <w:p>
      <w:pPr>
        <w:pStyle w:val="Heading3"/>
      </w:pPr>
      <w:r>
        <w:t xml:space="preserve">4. Связанные разделы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Функции модуля Database</w:t>
        </w:r>
      </w:hyperlink>
    </w:p>
    <w:bookmarkEnd w:id="22"/>
    <w:bookmarkEnd w:id="23"/>
    <w:bookmarkStart w:id="31" w:name="api-модуля-database-для-php-кода"/>
    <w:p>
      <w:pPr>
        <w:pStyle w:val="Heading2"/>
      </w:pPr>
      <w:r>
        <w:t xml:space="preserve">API модуля Database для PHP-кода</w:t>
      </w:r>
    </w:p>
    <w:p>
      <w:pPr>
        <w:pStyle w:val="FirstParagraph"/>
      </w:pPr>
      <w:r>
        <w:t xml:space="preserve">Раздел предназначен для разработчиков модулей ИРБИС 128, которые обращаются к модулю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из PHP-кода. Он фиксирует рекомендуемый способ получения типизированного экземпляра модуля и тип объекта базы данных, возвращаемый фабричными методами.</w:t>
      </w:r>
    </w:p>
    <w:bookmarkStart w:id="24" w:name="получение-экземпляра-модуля"/>
    <w:p>
      <w:pPr>
        <w:pStyle w:val="Heading3"/>
      </w:pPr>
      <w:r>
        <w:t xml:space="preserve">1. Получение экземпляра модуля</w:t>
      </w:r>
    </w:p>
    <w:p>
      <w:pPr>
        <w:pStyle w:val="FirstParagraph"/>
      </w:pPr>
      <w:r>
        <w:t xml:space="preserve">Для нового кода можно использовать статический метод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который раньше обычно получали через</w:t>
      </w:r>
      <w:r>
        <w:t xml:space="preserve"> </w:t>
      </w:r>
      <w:r>
        <w:rPr>
          <w:rStyle w:val="VerbatimChar"/>
        </w:rPr>
        <w:t xml:space="preserve">UseModule('Database')</w:t>
      </w:r>
      <w:r>
        <w:t xml:space="preserve">, но его сигнатура явно указывает тип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Это помогает среде разработки видеть методы модуля, проверять сигнатуры и подсказывать доступные операции.</w:t>
      </w:r>
    </w:p>
    <w:p>
      <w:pPr>
        <w:pStyle w:val="BodyText"/>
      </w:pPr>
      <w:r>
        <w:t xml:space="preserve">Старый способ остается совместимым: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'Database'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код должен явно работать с модулем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предпочтительнее использовать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. Если имя модуля выбирается динамически, остается применимым</w:t>
      </w:r>
      <w:r>
        <w:t xml:space="preserve"> </w:t>
      </w:r>
      <w:r>
        <w:rPr>
          <w:rStyle w:val="VerbatimChar"/>
        </w:rPr>
        <w:t xml:space="preserve">UseModule($moduleName)</w:t>
      </w:r>
      <w:r>
        <w:t xml:space="preserve">.</w:t>
      </w:r>
    </w:p>
    <w:bookmarkEnd w:id="24"/>
    <w:bookmarkStart w:id="25" w:name="объект-базы-данных"/>
    <w:p>
      <w:pPr>
        <w:pStyle w:val="Heading3"/>
      </w:pPr>
      <w:r>
        <w:t xml:space="preserve">2. Объект базы данных</w:t>
      </w:r>
    </w:p>
    <w:p>
      <w:pPr>
        <w:pStyle w:val="FirstParagraph"/>
      </w:pPr>
      <w:r>
        <w:t xml:space="preserve">Фабричный метод</w:t>
      </w:r>
      <w:r>
        <w:t xml:space="preserve"> </w:t>
      </w:r>
      <w:r>
        <w:rPr>
          <w:rStyle w:val="VerbatimChar"/>
        </w:rPr>
        <w:t xml:space="preserve">Database::GetNew()</w:t>
      </w:r>
      <w:r>
        <w:t xml:space="preserve"> </w:t>
      </w:r>
      <w:r>
        <w:t xml:space="preserve">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Database::getInstance()-&gt;GetNew()</w:t>
      </w:r>
      <w:r>
        <w:rPr>
          <w:rStyle w:val="OtherTok"/>
        </w:rPr>
        <w:t xml:space="preserve">;</w:t>
      </w:r>
    </w:p>
    <w:p>
      <w:pPr>
        <w:pStyle w:val="FirstParagraph"/>
      </w:pPr>
      <w:r>
        <w:rPr>
          <w:rStyle w:val="VerbatimChar"/>
        </w:rPr>
        <w:t xml:space="preserve">ObjectDataDatabase</w:t>
      </w:r>
      <w:r>
        <w:t xml:space="preserve"> </w:t>
      </w:r>
      <w:r>
        <w:t xml:space="preserve">наследуется от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поэтому существующий код, ожидающий обычный объект данных, продолжает работать. При этом у объекта базы данных описаны специализированные свойства и методы, например</w:t>
      </w:r>
      <w:r>
        <w:t xml:space="preserve"> </w:t>
      </w:r>
      <w:r>
        <w:rPr>
          <w:rStyle w:val="VerbatimChar"/>
        </w:rPr>
        <w:t xml:space="preserve">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ProviderType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IsOpen</w:t>
      </w:r>
      <w:r>
        <w:t xml:space="preserve">,</w:t>
      </w:r>
      <w:r>
        <w:t xml:space="preserve"> </w:t>
      </w:r>
      <w:r>
        <w:rPr>
          <w:rStyle w:val="VerbatimChar"/>
        </w:rPr>
        <w:t xml:space="preserve">IsRO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GetNew()</w:t>
      </w:r>
      <w:r>
        <w:t xml:space="preserve"> </w:t>
      </w:r>
      <w:r>
        <w:t xml:space="preserve">создает новый объект базы данных, но сам по себе не открывает существующую БД. Для получения уже настроенной базы по имени используйте методы открытия БД, например:</w:t>
      </w:r>
    </w:p>
    <w:p>
      <w:pPr>
        <w:pStyle w:val="SourceCode"/>
      </w:pPr>
      <w:r>
        <w:rPr>
          <w:rStyle w:val="VariableTok"/>
        </w:rPr>
        <w:t xml:space="preserve">$ibis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Возвращаемое значение в этом случае имеет тип</w:t>
      </w:r>
      <w:r>
        <w:t xml:space="preserve"> </w:t>
      </w:r>
      <w:r>
        <w:rPr>
          <w:rStyle w:val="VerbatimChar"/>
        </w:rPr>
        <w:t xml:space="preserve">ObjectDataDatabase|null</w:t>
      </w:r>
      <w:r>
        <w:t xml:space="preserve">: при ошибке открытия или неизвестном имени БД может быть возвращен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bookmarkEnd w:id="25"/>
    <w:bookmarkStart w:id="26" w:name="практические-рекомендации"/>
    <w:p>
      <w:pPr>
        <w:pStyle w:val="Heading3"/>
      </w:pPr>
      <w:r>
        <w:t xml:space="preserve">3. Практические рекомендации</w:t>
      </w:r>
    </w:p>
    <w:p>
      <w:pPr>
        <w:pStyle w:val="Compact"/>
        <w:numPr>
          <w:ilvl w:val="0"/>
          <w:numId w:val="1003"/>
        </w:numPr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 </w:t>
      </w:r>
      <w:r>
        <w:t xml:space="preserve">в новом коде, когда нужен именно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Проверяйте результат методов, которые могут вернуть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перед обращением к объекту БД.</w:t>
      </w:r>
    </w:p>
    <w:p>
      <w:pPr>
        <w:pStyle w:val="Compact"/>
        <w:numPr>
          <w:ilvl w:val="0"/>
          <w:numId w:val="1003"/>
        </w:numPr>
      </w:pPr>
      <w:r>
        <w:t xml:space="preserve">Для создания нового объекта БД используйте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Для работы с существующей БД по имени используйте</w:t>
      </w:r>
      <w:r>
        <w:t xml:space="preserve"> </w:t>
      </w:r>
      <w:r>
        <w:rPr>
          <w:rStyle w:val="VerbatimChar"/>
        </w:rPr>
        <w:t xml:space="preserve">Database::getInstance()-&gt;Get($name)</w:t>
      </w:r>
      <w:r>
        <w:t xml:space="preserve"> </w:t>
      </w:r>
      <w:r>
        <w:t xml:space="preserve">или доменные методы, которые уже возвращают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Не подменяйте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обычным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если дальше используются свойства или методы базы данных: типизированный объект дает более точный контракт и уменьшает риск ошибки при сопровождении кода.</w:t>
      </w:r>
    </w:p>
    <w:bookmarkEnd w:id="26"/>
    <w:bookmarkStart w:id="30" w:name="связанные-разделы-1"/>
    <w:p>
      <w:pPr>
        <w:pStyle w:val="Heading3"/>
      </w:pPr>
      <w:r>
        <w:t xml:space="preserve">4. Связанные разделы</w:t>
      </w:r>
    </w:p>
    <w:p>
      <w:pPr>
        <w:pStyle w:val="Compact"/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ObjectModule</w:t>
        </w:r>
      </w:hyperlink>
    </w:p>
    <w:p>
      <w:pPr>
        <w:pStyle w:val="Compact"/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Управление модулями</w:t>
        </w:r>
      </w:hyperlink>
    </w:p>
    <w:bookmarkEnd w:id="30"/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Admin/Databases" TargetMode="External" /><Relationship Type="http://schemas.openxmlformats.org/officeDocument/2006/relationships/hyperlink" Id="rId20" Target="?id=Help/Show&amp;m=Database/Help/Purpose" TargetMode="External" /><Relationship Type="http://schemas.openxmlformats.org/officeDocument/2006/relationships/hyperlink" Id="rId27" Target="?id=Help/Show&amp;m=Database/Purpose" TargetMode="External" /><Relationship Type="http://schemas.openxmlformats.org/officeDocument/2006/relationships/hyperlink" Id="rId11" Target="?id=Help/Show&amp;m=Database/SchemaEditor" TargetMode="External" /><Relationship Type="http://schemas.openxmlformats.org/officeDocument/2006/relationships/hyperlink" Id="rId21" Target="?id=Help/Show&amp;m=Help/Module/Functions&amp;module=Database#ImportFromCdsIsisFolder" TargetMode="External" /><Relationship Type="http://schemas.openxmlformats.org/officeDocument/2006/relationships/hyperlink" Id="rId29" Target="?id=Help/Show&amp;m=Help/Server128/SystemCore/ModuleManagement" TargetMode="External" /><Relationship Type="http://schemas.openxmlformats.org/officeDocument/2006/relationships/hyperlink" Id="rId28" Target="?id=Help/Show&amp;m=Help/Server128/SystemCore/ObjectModule" TargetMode="External" /><Relationship Type="http://schemas.openxmlformats.org/officeDocument/2006/relationships/hyperlink" Id="rId9" Target="?id=Help/Show&amp;m=Security/RecordServiceField11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Admin/Databases" TargetMode="External" /><Relationship Type="http://schemas.openxmlformats.org/officeDocument/2006/relationships/hyperlink" Id="rId20" Target="?id=Help/Show&amp;m=Database/Help/Purpose" TargetMode="External" /><Relationship Type="http://schemas.openxmlformats.org/officeDocument/2006/relationships/hyperlink" Id="rId27" Target="?id=Help/Show&amp;m=Database/Purpose" TargetMode="External" /><Relationship Type="http://schemas.openxmlformats.org/officeDocument/2006/relationships/hyperlink" Id="rId11" Target="?id=Help/Show&amp;m=Database/SchemaEditor" TargetMode="External" /><Relationship Type="http://schemas.openxmlformats.org/officeDocument/2006/relationships/hyperlink" Id="rId21" Target="?id=Help/Show&amp;m=Help/Module/Functions&amp;module=Database#ImportFromCdsIsisFolder" TargetMode="External" /><Relationship Type="http://schemas.openxmlformats.org/officeDocument/2006/relationships/hyperlink" Id="rId29" Target="?id=Help/Show&amp;m=Help/Server128/SystemCore/ModuleManagement" TargetMode="External" /><Relationship Type="http://schemas.openxmlformats.org/officeDocument/2006/relationships/hyperlink" Id="rId28" Target="?id=Help/Show&amp;m=Help/Server128/SystemCore/ObjectModule" TargetMode="External" /><Relationship Type="http://schemas.openxmlformats.org/officeDocument/2006/relationships/hyperlink" Id="rId9" Target="?id=Help/Show&amp;m=Security/RecordServiceField11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2026-08-30T15:52:08Z</dcterms:created>
  <dcterms:modified xsi:type="dcterms:W3CDTF">2026-08-30T15:52:08Z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